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2F5D" w:rsidRDefault="001156E4" w:rsidP="00032F5D">
      <w:pPr>
        <w:pStyle w:val="Title"/>
      </w:pPr>
      <w:bookmarkStart w:id="0" w:name="_Toc488850727"/>
      <w:r>
        <w:t>2024-2025</w:t>
      </w:r>
      <w:r w:rsidR="00D516C9">
        <w:t xml:space="preserve"> Idaho ESSER Monitoring Tool</w:t>
      </w:r>
    </w:p>
    <w:p w:rsidR="00032F5D" w:rsidRDefault="00D516C9" w:rsidP="00032F5D">
      <w:pPr>
        <w:pStyle w:val="Subtitle"/>
      </w:pPr>
      <w:r>
        <w:t>LEA</w:t>
      </w:r>
      <w:r w:rsidR="00877267">
        <w:t>s</w:t>
      </w:r>
    </w:p>
    <w:p w:rsidR="00D516C9" w:rsidRDefault="00D516C9" w:rsidP="00D516C9"/>
    <w:p w:rsidR="00D516C9" w:rsidRPr="00DA2D84" w:rsidRDefault="00D516C9" w:rsidP="00D516C9">
      <w:pPr>
        <w:pStyle w:val="NoSpacing"/>
        <w:rPr>
          <w:sz w:val="28"/>
          <w:szCs w:val="28"/>
        </w:rPr>
      </w:pPr>
      <w:bookmarkStart w:id="1" w:name="_Toc488850729"/>
      <w:r w:rsidRPr="00DA2D84">
        <w:rPr>
          <w:sz w:val="28"/>
          <w:szCs w:val="28"/>
        </w:rPr>
        <w:t>LEA Name and Number: ______________________________</w:t>
      </w:r>
    </w:p>
    <w:p w:rsidR="00D516C9" w:rsidRPr="00DA2D84" w:rsidRDefault="00D516C9" w:rsidP="00D516C9">
      <w:pPr>
        <w:pStyle w:val="NoSpacing"/>
        <w:rPr>
          <w:sz w:val="28"/>
          <w:szCs w:val="28"/>
        </w:rPr>
      </w:pPr>
      <w:r w:rsidRPr="00DA2D84">
        <w:rPr>
          <w:sz w:val="28"/>
          <w:szCs w:val="28"/>
        </w:rPr>
        <w:t>Date of Program Review: _____________________________</w:t>
      </w:r>
    </w:p>
    <w:p w:rsidR="00D516C9" w:rsidRPr="00DA2D84" w:rsidRDefault="00D516C9" w:rsidP="00D516C9">
      <w:pPr>
        <w:pStyle w:val="NoSpacing"/>
        <w:rPr>
          <w:sz w:val="28"/>
          <w:szCs w:val="28"/>
        </w:rPr>
      </w:pPr>
      <w:r w:rsidRPr="00DA2D84">
        <w:rPr>
          <w:sz w:val="28"/>
          <w:szCs w:val="28"/>
        </w:rPr>
        <w:t>LEA Superintendent/Administrator: ____________________</w:t>
      </w:r>
    </w:p>
    <w:p w:rsidR="00D516C9" w:rsidRPr="00DA2D84" w:rsidRDefault="00D516C9" w:rsidP="00D516C9">
      <w:pPr>
        <w:pStyle w:val="NoSpacing"/>
        <w:rPr>
          <w:sz w:val="28"/>
          <w:szCs w:val="28"/>
        </w:rPr>
      </w:pPr>
      <w:r w:rsidRPr="00DA2D84">
        <w:rPr>
          <w:sz w:val="28"/>
          <w:szCs w:val="28"/>
        </w:rPr>
        <w:t>Business Manager: __________________________________</w:t>
      </w:r>
    </w:p>
    <w:p w:rsidR="00D516C9" w:rsidRPr="00DA2D84" w:rsidRDefault="00D516C9" w:rsidP="00D516C9">
      <w:pPr>
        <w:pStyle w:val="NoSpacing"/>
        <w:rPr>
          <w:sz w:val="28"/>
          <w:szCs w:val="28"/>
        </w:rPr>
      </w:pPr>
      <w:r w:rsidRPr="00DA2D84">
        <w:rPr>
          <w:sz w:val="28"/>
          <w:szCs w:val="28"/>
        </w:rPr>
        <w:t>IDE Team: ________________________________________</w:t>
      </w:r>
    </w:p>
    <w:p w:rsidR="00D516C9" w:rsidRDefault="00D516C9" w:rsidP="00D516C9">
      <w:pPr>
        <w:pStyle w:val="NoSpacing"/>
      </w:pPr>
    </w:p>
    <w:bookmarkEnd w:id="1"/>
    <w:p w:rsidR="00D516C9" w:rsidRDefault="00D516C9" w:rsidP="001177B9">
      <w:pPr>
        <w:pStyle w:val="Note"/>
      </w:pPr>
      <w:r w:rsidRPr="00DA2D84">
        <w:rPr>
          <w:b/>
          <w:szCs w:val="24"/>
        </w:rPr>
        <w:t xml:space="preserve">Note: </w:t>
      </w:r>
      <w:r w:rsidRPr="00DA2D84">
        <w:rPr>
          <w:szCs w:val="24"/>
        </w:rPr>
        <w:t>The LEA is responsible for operating its categorical programs in compliance with all applicable laws and regulations. The monitoring process cannot produce an all-inclusive assessment of items in this instrument</w:t>
      </w:r>
      <w:bookmarkEnd w:id="0"/>
      <w:r w:rsidR="001177B9">
        <w:t xml:space="preserve"> </w:t>
      </w:r>
    </w:p>
    <w:p w:rsidR="006606C2" w:rsidRPr="006606C2" w:rsidRDefault="006606C2" w:rsidP="00032F5D">
      <w:pPr>
        <w:pStyle w:val="Heading1"/>
        <w:rPr>
          <w:sz w:val="40"/>
          <w:szCs w:val="40"/>
        </w:rPr>
      </w:pPr>
      <w:bookmarkStart w:id="2" w:name="_Toc488850731"/>
      <w:r>
        <w:rPr>
          <w:sz w:val="40"/>
          <w:szCs w:val="40"/>
        </w:rPr>
        <w:lastRenderedPageBreak/>
        <w:t>stakeholder engagement (SE)</w:t>
      </w:r>
    </w:p>
    <w:bookmarkEnd w:id="2"/>
    <w:p w:rsidR="00032F5D" w:rsidRPr="00940C28" w:rsidRDefault="006606C2" w:rsidP="00032F5D">
      <w:pPr>
        <w:pStyle w:val="Heading1"/>
      </w:pPr>
      <w:r>
        <w:t>Safe return plan</w:t>
      </w:r>
    </w:p>
    <w:tbl>
      <w:tblPr>
        <w:tblStyle w:val="ProposalTable"/>
        <w:tblW w:w="5000" w:type="pct"/>
        <w:tblLook w:val="04A0" w:firstRow="1" w:lastRow="0" w:firstColumn="1" w:lastColumn="0" w:noHBand="0" w:noVBand="1"/>
        <w:tblDescription w:val="Describe the table"/>
      </w:tblPr>
      <w:tblGrid>
        <w:gridCol w:w="4766"/>
        <w:gridCol w:w="5040"/>
        <w:gridCol w:w="3144"/>
      </w:tblGrid>
      <w:tr w:rsidR="00824793" w:rsidTr="006606C2">
        <w:trPr>
          <w:cnfStyle w:val="100000000000" w:firstRow="1" w:lastRow="0" w:firstColumn="0" w:lastColumn="0" w:oddVBand="0" w:evenVBand="0" w:oddHBand="0" w:evenHBand="0" w:firstRowFirstColumn="0" w:firstRowLastColumn="0" w:lastRowFirstColumn="0" w:lastRowLastColumn="0"/>
          <w:tblHeader/>
        </w:trPr>
        <w:tc>
          <w:tcPr>
            <w:tcW w:w="184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606C2" w:rsidRDefault="006606C2" w:rsidP="006606C2">
            <w:pPr>
              <w:rPr>
                <w:b w:val="0"/>
                <w:sz w:val="22"/>
                <w:szCs w:val="22"/>
              </w:rPr>
            </w:pPr>
            <w:r w:rsidRPr="00C75DC0">
              <w:rPr>
                <w:sz w:val="22"/>
                <w:szCs w:val="22"/>
              </w:rPr>
              <w:t>Citation</w:t>
            </w:r>
          </w:p>
          <w:p w:rsidR="00824793" w:rsidRDefault="006606C2" w:rsidP="006606C2">
            <w:r>
              <w:rPr>
                <w:sz w:val="18"/>
              </w:rPr>
              <w:t>ARP ESSER III</w:t>
            </w:r>
            <w:r w:rsidRPr="00226460">
              <w:rPr>
                <w:sz w:val="18"/>
              </w:rPr>
              <w:t xml:space="preserve"> ESSER III: 2001(i)(1-3)</w:t>
            </w:r>
          </w:p>
        </w:tc>
        <w:tc>
          <w:tcPr>
            <w:tcW w:w="19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24793" w:rsidRPr="00C75DC0" w:rsidRDefault="00824793" w:rsidP="00824793">
            <w:pPr>
              <w:rPr>
                <w:sz w:val="22"/>
                <w:szCs w:val="22"/>
              </w:rPr>
            </w:pPr>
            <w:r w:rsidRPr="00C75DC0">
              <w:rPr>
                <w:sz w:val="22"/>
                <w:szCs w:val="22"/>
              </w:rPr>
              <w:t>Supporting Documents and Resources</w:t>
            </w:r>
          </w:p>
        </w:tc>
        <w:tc>
          <w:tcPr>
            <w:tcW w:w="121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24793" w:rsidRPr="00C75DC0" w:rsidRDefault="00824793" w:rsidP="00824793">
            <w:pPr>
              <w:rPr>
                <w:sz w:val="22"/>
                <w:szCs w:val="22"/>
              </w:rPr>
            </w:pPr>
            <w:r w:rsidRPr="00C75DC0">
              <w:rPr>
                <w:sz w:val="22"/>
                <w:szCs w:val="22"/>
              </w:rPr>
              <w:t>Comments</w:t>
            </w:r>
          </w:p>
        </w:tc>
      </w:tr>
      <w:tr w:rsidR="00824793" w:rsidTr="00B53215">
        <w:trPr>
          <w:trHeight w:val="1826"/>
        </w:trPr>
        <w:tc>
          <w:tcPr>
            <w:tcW w:w="184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06C2" w:rsidRDefault="006606C2" w:rsidP="006606C2">
            <w:pPr>
              <w:pStyle w:val="TableParagraph"/>
              <w:spacing w:before="0"/>
              <w:ind w:left="0"/>
              <w:rPr>
                <w:sz w:val="18"/>
                <w:szCs w:val="18"/>
              </w:rPr>
            </w:pPr>
            <w:r w:rsidRPr="00345562">
              <w:rPr>
                <w:sz w:val="18"/>
                <w:szCs w:val="18"/>
              </w:rPr>
              <w:t xml:space="preserve">IN </w:t>
            </w:r>
            <w:proofErr w:type="gramStart"/>
            <w:r w:rsidRPr="00345562">
              <w:rPr>
                <w:sz w:val="18"/>
                <w:szCs w:val="18"/>
              </w:rPr>
              <w:t>GENERAL.—</w:t>
            </w:r>
            <w:proofErr w:type="gramEnd"/>
            <w:r w:rsidRPr="00345562">
              <w:rPr>
                <w:sz w:val="18"/>
                <w:szCs w:val="18"/>
              </w:rPr>
              <w:t>A local educational agency receiving funds under this section shall develop and make publicly available on the local educational agency’s website, no later than 30 days after receiving the allocation of funds described in paragraph (d)(1), a plan for the safe return to in-person instruction and continuity of services</w:t>
            </w:r>
          </w:p>
          <w:p w:rsidR="006606C2" w:rsidRPr="00345562" w:rsidRDefault="006606C2" w:rsidP="006606C2">
            <w:pPr>
              <w:pStyle w:val="TableParagraph"/>
              <w:spacing w:before="0"/>
              <w:ind w:left="0"/>
              <w:rPr>
                <w:sz w:val="18"/>
                <w:szCs w:val="18"/>
              </w:rPr>
            </w:pPr>
          </w:p>
          <w:p w:rsidR="006606C2" w:rsidRPr="00345562" w:rsidRDefault="006606C2" w:rsidP="006606C2">
            <w:pPr>
              <w:pStyle w:val="TableParagraph"/>
              <w:spacing w:before="0"/>
              <w:ind w:left="0"/>
              <w:rPr>
                <w:sz w:val="18"/>
                <w:szCs w:val="18"/>
              </w:rPr>
            </w:pPr>
            <w:r w:rsidRPr="00345562">
              <w:rPr>
                <w:sz w:val="18"/>
                <w:szCs w:val="18"/>
              </w:rPr>
              <w:t>COMMENT PERIOD.—Before making the plan described in paragraph</w:t>
            </w:r>
          </w:p>
          <w:p w:rsidR="006606C2" w:rsidRDefault="006606C2" w:rsidP="006606C2">
            <w:pPr>
              <w:pStyle w:val="TableParagraph"/>
              <w:spacing w:before="0"/>
              <w:ind w:left="0"/>
              <w:rPr>
                <w:sz w:val="18"/>
                <w:szCs w:val="18"/>
              </w:rPr>
            </w:pPr>
            <w:r w:rsidRPr="00345562">
              <w:rPr>
                <w:sz w:val="18"/>
                <w:szCs w:val="18"/>
              </w:rPr>
              <w:t>(1) publicly available, the local educational agency shall seek public comment on the plan and take such comments into account in the development of the plan.</w:t>
            </w:r>
          </w:p>
          <w:p w:rsidR="006606C2" w:rsidRPr="00345562" w:rsidRDefault="006606C2" w:rsidP="006606C2">
            <w:pPr>
              <w:pStyle w:val="TableParagraph"/>
              <w:spacing w:before="0"/>
              <w:ind w:left="0"/>
              <w:rPr>
                <w:sz w:val="18"/>
                <w:szCs w:val="18"/>
              </w:rPr>
            </w:pPr>
          </w:p>
          <w:p w:rsidR="006606C2" w:rsidRDefault="006606C2" w:rsidP="006606C2">
            <w:pPr>
              <w:spacing w:before="0" w:after="0"/>
              <w:rPr>
                <w:sz w:val="18"/>
              </w:rPr>
            </w:pPr>
            <w:r w:rsidRPr="00345562">
              <w:rPr>
                <w:sz w:val="18"/>
              </w:rPr>
              <w:t>LEA must seek public input on whether to revise its plan and on any revisions to its plan no less frequently than every six months (taking into consideration the timing of significant changes to CDC guidance on reopening schools)</w:t>
            </w:r>
            <w:r>
              <w:rPr>
                <w:sz w:val="18"/>
              </w:rPr>
              <w:t xml:space="preserve">. </w:t>
            </w:r>
          </w:p>
          <w:p w:rsidR="00824793" w:rsidRDefault="00824793" w:rsidP="00824793"/>
        </w:tc>
        <w:tc>
          <w:tcPr>
            <w:tcW w:w="19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06C2" w:rsidRPr="0034594A" w:rsidRDefault="006606C2" w:rsidP="006B1BC0">
            <w:pPr>
              <w:spacing w:before="0" w:after="0"/>
              <w:rPr>
                <w:b/>
                <w:sz w:val="18"/>
              </w:rPr>
            </w:pPr>
            <w:r w:rsidRPr="0034594A">
              <w:rPr>
                <w:b/>
                <w:sz w:val="18"/>
              </w:rPr>
              <w:t>Demonstration of Compliance:</w:t>
            </w:r>
          </w:p>
          <w:p w:rsidR="00455182" w:rsidRPr="0034594A" w:rsidRDefault="00455182" w:rsidP="0031441D">
            <w:pPr>
              <w:pStyle w:val="ListParagraph"/>
              <w:numPr>
                <w:ilvl w:val="0"/>
                <w:numId w:val="5"/>
              </w:numPr>
              <w:spacing w:after="0" w:line="240" w:lineRule="auto"/>
              <w:rPr>
                <w:sz w:val="18"/>
              </w:rPr>
            </w:pPr>
            <w:r w:rsidRPr="0034594A">
              <w:rPr>
                <w:sz w:val="18"/>
              </w:rPr>
              <w:t>The LEA</w:t>
            </w:r>
            <w:r w:rsidR="00256027">
              <w:rPr>
                <w:sz w:val="18"/>
              </w:rPr>
              <w:t xml:space="preserve">s most recent </w:t>
            </w:r>
            <w:r w:rsidRPr="0034594A">
              <w:rPr>
                <w:sz w:val="18"/>
              </w:rPr>
              <w:t>Safe Return to In-Person Instruction and Continuity of Services plan update</w:t>
            </w:r>
            <w:r w:rsidR="001C39B0">
              <w:rPr>
                <w:sz w:val="18"/>
              </w:rPr>
              <w:t>d</w:t>
            </w:r>
            <w:bookmarkStart w:id="3" w:name="_GoBack"/>
            <w:bookmarkEnd w:id="3"/>
            <w:r w:rsidRPr="0034594A">
              <w:rPr>
                <w:sz w:val="18"/>
              </w:rPr>
              <w:t xml:space="preserve"> no less than 6 months</w:t>
            </w:r>
            <w:r w:rsidR="00256027">
              <w:rPr>
                <w:sz w:val="18"/>
              </w:rPr>
              <w:t xml:space="preserve"> ago</w:t>
            </w:r>
          </w:p>
          <w:p w:rsidR="00ED30A3" w:rsidRPr="0034594A" w:rsidRDefault="00455182" w:rsidP="0031441D">
            <w:pPr>
              <w:pStyle w:val="ListParagraph"/>
              <w:numPr>
                <w:ilvl w:val="0"/>
                <w:numId w:val="5"/>
              </w:numPr>
              <w:spacing w:after="0" w:line="240" w:lineRule="auto"/>
              <w:rPr>
                <w:sz w:val="18"/>
              </w:rPr>
            </w:pPr>
            <w:r w:rsidRPr="0034594A">
              <w:rPr>
                <w:sz w:val="18"/>
              </w:rPr>
              <w:t>The LEA’s plan describes how it will maintain the health and safety of students, educators, and other school and LEA staff, including social, emotional, mental health and other needs. This may include student health and food services, if such information is not included in the LEA’s use of funds plans.</w:t>
            </w:r>
          </w:p>
          <w:p w:rsidR="00455182" w:rsidRPr="0034594A" w:rsidRDefault="00455182" w:rsidP="0031441D">
            <w:pPr>
              <w:pStyle w:val="ListParagraph"/>
              <w:numPr>
                <w:ilvl w:val="0"/>
                <w:numId w:val="5"/>
              </w:numPr>
              <w:spacing w:after="0" w:line="240" w:lineRule="auto"/>
              <w:rPr>
                <w:sz w:val="18"/>
              </w:rPr>
            </w:pPr>
            <w:r w:rsidRPr="0034594A">
              <w:rPr>
                <w:sz w:val="18"/>
              </w:rPr>
              <w:t>The LEA plan describes any policies pertaining to each of the CDC’s safety recommendations including:</w:t>
            </w:r>
          </w:p>
          <w:p w:rsidR="00455182" w:rsidRPr="0034594A" w:rsidRDefault="00455182" w:rsidP="00333E67">
            <w:pPr>
              <w:pStyle w:val="ListParagraph"/>
              <w:numPr>
                <w:ilvl w:val="0"/>
                <w:numId w:val="0"/>
              </w:numPr>
              <w:spacing w:after="0" w:line="240" w:lineRule="auto"/>
              <w:ind w:left="432"/>
              <w:rPr>
                <w:sz w:val="18"/>
              </w:rPr>
            </w:pPr>
            <w:r w:rsidRPr="0034594A">
              <w:rPr>
                <w:sz w:val="18"/>
              </w:rPr>
              <w:t>Universal and correct wearing of masks; modifying facilities to allow for physical distancing (e.g., use of cohorts/</w:t>
            </w:r>
            <w:proofErr w:type="spellStart"/>
            <w:r w:rsidRPr="0034594A">
              <w:rPr>
                <w:sz w:val="18"/>
              </w:rPr>
              <w:t>podding</w:t>
            </w:r>
            <w:proofErr w:type="spellEnd"/>
            <w:r w:rsidRPr="0034594A">
              <w:rPr>
                <w:sz w:val="18"/>
              </w:rPr>
              <w:t>); handwashing and respiratory etiquette; cleaning and maintaining healthy facilities, including improving ventilation; contact tracing in combination with isolation and quarantine, in collaboration with the State, local, territorial, or Tribal health departments; diagnostic and screening testing; efforts to provide vaccinations to school communities; appropriate accommodations for children with disabilities with respect to health and safety policies; and coordination with State and local health officials.</w:t>
            </w:r>
          </w:p>
          <w:p w:rsidR="00455182" w:rsidRPr="0034594A" w:rsidRDefault="00455182" w:rsidP="0031441D">
            <w:pPr>
              <w:pStyle w:val="ListParagraph"/>
              <w:numPr>
                <w:ilvl w:val="0"/>
                <w:numId w:val="6"/>
              </w:numPr>
              <w:spacing w:after="0" w:line="240" w:lineRule="auto"/>
              <w:rPr>
                <w:sz w:val="18"/>
              </w:rPr>
            </w:pPr>
            <w:r w:rsidRPr="0034594A">
              <w:rPr>
                <w:sz w:val="18"/>
              </w:rPr>
              <w:t>The LEA held a public comment period in accordance with local practices on the plan’s development prior to making it publicly available.</w:t>
            </w:r>
          </w:p>
          <w:p w:rsidR="00455182" w:rsidRPr="0034594A" w:rsidRDefault="00455182" w:rsidP="0031441D">
            <w:pPr>
              <w:pStyle w:val="ListParagraph"/>
              <w:numPr>
                <w:ilvl w:val="0"/>
                <w:numId w:val="6"/>
              </w:numPr>
              <w:spacing w:after="0" w:line="240" w:lineRule="auto"/>
              <w:rPr>
                <w:sz w:val="18"/>
              </w:rPr>
            </w:pPr>
            <w:r w:rsidRPr="0034594A">
              <w:rPr>
                <w:sz w:val="18"/>
              </w:rPr>
              <w:t xml:space="preserve">The LEA will </w:t>
            </w:r>
            <w:proofErr w:type="gramStart"/>
            <w:r w:rsidRPr="0034594A">
              <w:rPr>
                <w:sz w:val="18"/>
              </w:rPr>
              <w:t>review</w:t>
            </w:r>
            <w:r w:rsidR="00B53215">
              <w:rPr>
                <w:sz w:val="18"/>
              </w:rPr>
              <w:t>ed</w:t>
            </w:r>
            <w:proofErr w:type="gramEnd"/>
            <w:r w:rsidRPr="0034594A">
              <w:rPr>
                <w:sz w:val="18"/>
              </w:rPr>
              <w:t xml:space="preserve"> the plan at least every six months and update</w:t>
            </w:r>
            <w:r w:rsidR="00B53215">
              <w:rPr>
                <w:sz w:val="18"/>
              </w:rPr>
              <w:t>d</w:t>
            </w:r>
            <w:r w:rsidRPr="0034594A">
              <w:rPr>
                <w:sz w:val="18"/>
              </w:rPr>
              <w:t xml:space="preserve"> if needed, taking into consideration input from stakeholders and the public about whether the plan </w:t>
            </w:r>
            <w:r w:rsidRPr="0034594A">
              <w:rPr>
                <w:sz w:val="18"/>
              </w:rPr>
              <w:lastRenderedPageBreak/>
              <w:t>needs revision, and if so, in what manner. Any revisions must also take into consideration current CDC or local health departments recommendations.</w:t>
            </w:r>
          </w:p>
          <w:p w:rsidR="00824793" w:rsidRPr="0034594A" w:rsidRDefault="00455182" w:rsidP="0031441D">
            <w:pPr>
              <w:pStyle w:val="ListParagraph"/>
              <w:numPr>
                <w:ilvl w:val="0"/>
                <w:numId w:val="6"/>
              </w:numPr>
              <w:spacing w:after="0" w:line="240" w:lineRule="auto"/>
              <w:rPr>
                <w:sz w:val="18"/>
              </w:rPr>
            </w:pPr>
            <w:r w:rsidRPr="0034594A">
              <w:rPr>
                <w:sz w:val="18"/>
              </w:rPr>
              <w:t>The plan, and any updates or revisions to it, meets American Disabilities Act (ADA) accessibility requirements or the LEA has responded to any requests for translations or making materials available in an accessible manner (e.g., oral for visually impaired individuals).</w:t>
            </w:r>
          </w:p>
        </w:tc>
        <w:tc>
          <w:tcPr>
            <w:tcW w:w="121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24793" w:rsidRDefault="00824793" w:rsidP="00824793"/>
        </w:tc>
      </w:tr>
    </w:tbl>
    <w:p w:rsidR="006606C2" w:rsidRPr="006606C2" w:rsidRDefault="006606C2" w:rsidP="006606C2">
      <w:pPr>
        <w:pStyle w:val="Heading1"/>
        <w:rPr>
          <w:rStyle w:val="IntenseEmphasis"/>
          <w:b/>
          <w:iCs w:val="0"/>
          <w:caps/>
          <w:color w:val="0E3354"/>
          <w:sz w:val="28"/>
        </w:rPr>
      </w:pPr>
      <w:r>
        <w:t xml:space="preserve">arp plan </w:t>
      </w:r>
    </w:p>
    <w:tbl>
      <w:tblPr>
        <w:tblStyle w:val="ProposalTable"/>
        <w:tblW w:w="5000" w:type="pct"/>
        <w:tblLook w:val="04A0" w:firstRow="1" w:lastRow="0" w:firstColumn="1" w:lastColumn="0" w:noHBand="0" w:noVBand="1"/>
      </w:tblPr>
      <w:tblGrid>
        <w:gridCol w:w="4585"/>
        <w:gridCol w:w="5221"/>
        <w:gridCol w:w="3144"/>
      </w:tblGrid>
      <w:tr w:rsidR="00824793" w:rsidRPr="00C75DC0" w:rsidTr="00722015">
        <w:trPr>
          <w:cnfStyle w:val="100000000000" w:firstRow="1" w:lastRow="0" w:firstColumn="0" w:lastColumn="0" w:oddVBand="0" w:evenVBand="0" w:oddHBand="0" w:evenHBand="0" w:firstRowFirstColumn="0" w:firstRowLastColumn="0" w:lastRowFirstColumn="0" w:lastRowLastColumn="0"/>
          <w:tblHeader/>
        </w:trPr>
        <w:tc>
          <w:tcPr>
            <w:tcW w:w="177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606C2" w:rsidRDefault="006606C2" w:rsidP="006606C2">
            <w:pPr>
              <w:rPr>
                <w:b w:val="0"/>
                <w:sz w:val="22"/>
                <w:szCs w:val="22"/>
              </w:rPr>
            </w:pPr>
            <w:r w:rsidRPr="00C75DC0">
              <w:rPr>
                <w:sz w:val="22"/>
                <w:szCs w:val="22"/>
              </w:rPr>
              <w:t>Citation</w:t>
            </w:r>
          </w:p>
          <w:p w:rsidR="006606C2" w:rsidRDefault="006606C2" w:rsidP="006606C2">
            <w:pPr>
              <w:rPr>
                <w:b w:val="0"/>
                <w:sz w:val="22"/>
                <w:szCs w:val="22"/>
              </w:rPr>
            </w:pPr>
            <w:r>
              <w:rPr>
                <w:sz w:val="18"/>
              </w:rPr>
              <w:t>ARP ESSER III</w:t>
            </w:r>
          </w:p>
          <w:p w:rsidR="00824793" w:rsidRDefault="005D7772" w:rsidP="006606C2">
            <w:hyperlink r:id="rId9">
              <w:r w:rsidR="006606C2" w:rsidRPr="00F670AC">
                <w:rPr>
                  <w:rStyle w:val="Hyperlink"/>
                  <w:bCs/>
                  <w:color w:val="262626" w:themeColor="text1"/>
                  <w:sz w:val="18"/>
                  <w:lang w:bidi="en-US"/>
                </w:rPr>
                <w:t>86 FR 21195</w:t>
              </w:r>
            </w:hyperlink>
          </w:p>
        </w:tc>
        <w:tc>
          <w:tcPr>
            <w:tcW w:w="201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24793" w:rsidRPr="00C75DC0" w:rsidRDefault="00824793" w:rsidP="00D00C99">
            <w:pPr>
              <w:rPr>
                <w:sz w:val="22"/>
                <w:szCs w:val="22"/>
              </w:rPr>
            </w:pPr>
            <w:r w:rsidRPr="00C75DC0">
              <w:rPr>
                <w:sz w:val="22"/>
                <w:szCs w:val="22"/>
              </w:rPr>
              <w:t>Supporting Documents and Resources</w:t>
            </w:r>
          </w:p>
        </w:tc>
        <w:tc>
          <w:tcPr>
            <w:tcW w:w="121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24793" w:rsidRPr="00C75DC0" w:rsidRDefault="00824793" w:rsidP="00D00C99">
            <w:pPr>
              <w:rPr>
                <w:sz w:val="22"/>
                <w:szCs w:val="22"/>
              </w:rPr>
            </w:pPr>
            <w:r w:rsidRPr="00C75DC0">
              <w:rPr>
                <w:sz w:val="22"/>
                <w:szCs w:val="22"/>
              </w:rPr>
              <w:t>Comments</w:t>
            </w:r>
          </w:p>
        </w:tc>
      </w:tr>
      <w:tr w:rsidR="00824793" w:rsidTr="00722015">
        <w:tc>
          <w:tcPr>
            <w:tcW w:w="177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06C2" w:rsidRPr="007C28A4" w:rsidRDefault="006606C2" w:rsidP="006606C2">
            <w:pPr>
              <w:spacing w:before="0" w:after="0"/>
              <w:rPr>
                <w:bCs/>
                <w:sz w:val="18"/>
              </w:rPr>
            </w:pPr>
            <w:r w:rsidRPr="007C28A4">
              <w:rPr>
                <w:bCs/>
                <w:sz w:val="18"/>
              </w:rPr>
              <w:t xml:space="preserve">Each LEA that receives ARP ESSER funds must develop, submit to the SEA on a reasonable timeline determined by the SEA, and make publicly available on the LEA’s website, a plan for the LEA’s use of ARP ESSER funds. </w:t>
            </w:r>
          </w:p>
          <w:p w:rsidR="006606C2" w:rsidRPr="0078169B" w:rsidRDefault="006606C2" w:rsidP="006606C2">
            <w:pPr>
              <w:tabs>
                <w:tab w:val="left" w:pos="215"/>
                <w:tab w:val="left" w:pos="425"/>
              </w:tabs>
              <w:spacing w:before="0" w:after="0"/>
              <w:rPr>
                <w:bCs/>
                <w:sz w:val="16"/>
                <w:szCs w:val="16"/>
              </w:rPr>
            </w:pPr>
          </w:p>
          <w:p w:rsidR="006606C2" w:rsidRPr="007C28A4" w:rsidRDefault="006606C2" w:rsidP="006606C2">
            <w:pPr>
              <w:tabs>
                <w:tab w:val="left" w:pos="215"/>
                <w:tab w:val="left" w:pos="425"/>
              </w:tabs>
              <w:spacing w:before="0" w:after="0"/>
              <w:rPr>
                <w:bCs/>
                <w:sz w:val="18"/>
              </w:rPr>
            </w:pPr>
            <w:r w:rsidRPr="007C28A4">
              <w:rPr>
                <w:bCs/>
                <w:sz w:val="18"/>
              </w:rPr>
              <w:t>Under this requirement, an LEA must engage in meaningful consultation with stakeholders and give the public an opportunity to provide input in the development of its plan. Specifically, an LEA must engage in meaningful consultation with students; families; school and district administrators (including special education administrators); and teachers, principals, school leaders, other educators, school staff, and their unions.</w:t>
            </w:r>
          </w:p>
          <w:p w:rsidR="00824793" w:rsidRDefault="00824793" w:rsidP="00D00C99"/>
        </w:tc>
        <w:tc>
          <w:tcPr>
            <w:tcW w:w="201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06C2" w:rsidRPr="00F64CF1" w:rsidRDefault="006606C2" w:rsidP="00722015">
            <w:pPr>
              <w:spacing w:before="0" w:after="0"/>
              <w:rPr>
                <w:b/>
                <w:sz w:val="18"/>
                <w:lang w:bidi="en-US"/>
              </w:rPr>
            </w:pPr>
            <w:r w:rsidRPr="00F64CF1">
              <w:rPr>
                <w:b/>
                <w:sz w:val="18"/>
                <w:lang w:bidi="en-US"/>
              </w:rPr>
              <w:t>Demonstration of Compliance</w:t>
            </w:r>
          </w:p>
          <w:p w:rsidR="00722015" w:rsidRPr="00722015" w:rsidRDefault="00722015" w:rsidP="0031441D">
            <w:pPr>
              <w:pStyle w:val="ListParagraph"/>
              <w:numPr>
                <w:ilvl w:val="0"/>
                <w:numId w:val="7"/>
              </w:numPr>
              <w:spacing w:after="0" w:line="240" w:lineRule="auto"/>
              <w:rPr>
                <w:sz w:val="18"/>
                <w:szCs w:val="18"/>
              </w:rPr>
            </w:pPr>
            <w:r w:rsidRPr="00722015">
              <w:rPr>
                <w:sz w:val="18"/>
                <w:szCs w:val="18"/>
              </w:rPr>
              <w:t>The LEA plan was developed in consultation with key stakeholders and the public who had an opportunity to provide meaningful input, including the following:  students, families, school and district administrators (including special education administrators), teachers, principals, school leaders, other educators, school staff, and their unions.</w:t>
            </w:r>
          </w:p>
          <w:p w:rsidR="00722015" w:rsidRPr="00722015" w:rsidRDefault="00722015" w:rsidP="0031441D">
            <w:pPr>
              <w:pStyle w:val="ListParagraph"/>
              <w:numPr>
                <w:ilvl w:val="0"/>
                <w:numId w:val="7"/>
              </w:numPr>
              <w:spacing w:after="0" w:line="240" w:lineRule="auto"/>
              <w:rPr>
                <w:sz w:val="18"/>
                <w:szCs w:val="18"/>
              </w:rPr>
            </w:pPr>
            <w:r w:rsidRPr="00722015">
              <w:rPr>
                <w:sz w:val="18"/>
                <w:szCs w:val="18"/>
              </w:rPr>
              <w:t>In addition, the LEA provided an opportunity for the following stakeholders to provide input, to the extent present or served by the LEA:  Tribes, civil rights organizations (including disability rights organizations), stakeholders representing the interests of children with disabilities, English learners, children experiencing homelessness, children in foster care, migratory students, children who are incarcerated, and other underserved students.</w:t>
            </w:r>
          </w:p>
          <w:p w:rsidR="00824793" w:rsidRDefault="00722015" w:rsidP="0031441D">
            <w:pPr>
              <w:pStyle w:val="ListParagraph"/>
              <w:numPr>
                <w:ilvl w:val="0"/>
                <w:numId w:val="8"/>
              </w:numPr>
              <w:spacing w:after="0" w:line="240" w:lineRule="auto"/>
            </w:pPr>
            <w:r w:rsidRPr="00722015">
              <w:rPr>
                <w:sz w:val="18"/>
                <w:szCs w:val="18"/>
              </w:rPr>
              <w:t xml:space="preserve">The plan, and any updates or revisions to it, is available in a language that parents can understand and meets Americans </w:t>
            </w:r>
            <w:r w:rsidRPr="00722015">
              <w:rPr>
                <w:sz w:val="18"/>
                <w:szCs w:val="18"/>
              </w:rPr>
              <w:lastRenderedPageBreak/>
              <w:t>with Disabilities Act (ADA) accessibility requirements or the LEA has responded to any requests for translations or making materials available in an accessible manner (e.g., oral for visually impaired individuals).</w:t>
            </w:r>
          </w:p>
        </w:tc>
        <w:tc>
          <w:tcPr>
            <w:tcW w:w="121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24793" w:rsidRDefault="00824793" w:rsidP="00D00C99"/>
        </w:tc>
      </w:tr>
    </w:tbl>
    <w:p w:rsidR="00032F5D" w:rsidRPr="006606C2" w:rsidRDefault="006606C2" w:rsidP="006606C2">
      <w:pPr>
        <w:pStyle w:val="Heading1"/>
        <w:rPr>
          <w:rStyle w:val="IntenseEmphasis"/>
          <w:b/>
          <w:iCs w:val="0"/>
          <w:caps/>
          <w:color w:val="0E3354"/>
          <w:sz w:val="28"/>
        </w:rPr>
      </w:pPr>
      <w:r>
        <w:t>EQUITABLE SERVICES</w:t>
      </w:r>
      <w:r w:rsidR="00941F8B">
        <w:t xml:space="preserve">-consultation </w:t>
      </w:r>
    </w:p>
    <w:tbl>
      <w:tblPr>
        <w:tblStyle w:val="ProposalTable"/>
        <w:tblW w:w="5000" w:type="pct"/>
        <w:tblLook w:val="04A0" w:firstRow="1" w:lastRow="0" w:firstColumn="1" w:lastColumn="0" w:noHBand="0" w:noVBand="1"/>
      </w:tblPr>
      <w:tblGrid>
        <w:gridCol w:w="4585"/>
        <w:gridCol w:w="5221"/>
        <w:gridCol w:w="3144"/>
      </w:tblGrid>
      <w:tr w:rsidR="00824793" w:rsidRPr="00C75DC0" w:rsidTr="003727D0">
        <w:trPr>
          <w:cnfStyle w:val="100000000000" w:firstRow="1" w:lastRow="0" w:firstColumn="0" w:lastColumn="0" w:oddVBand="0" w:evenVBand="0" w:oddHBand="0" w:evenHBand="0" w:firstRowFirstColumn="0" w:firstRowLastColumn="0" w:lastRowFirstColumn="0" w:lastRowLastColumn="0"/>
          <w:tblHeader/>
        </w:trPr>
        <w:tc>
          <w:tcPr>
            <w:tcW w:w="177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606C2" w:rsidRDefault="006606C2" w:rsidP="006606C2">
            <w:pPr>
              <w:rPr>
                <w:b w:val="0"/>
                <w:sz w:val="22"/>
                <w:szCs w:val="22"/>
              </w:rPr>
            </w:pPr>
            <w:r w:rsidRPr="00B074A5">
              <w:rPr>
                <w:sz w:val="22"/>
                <w:szCs w:val="22"/>
              </w:rPr>
              <w:t>Citation</w:t>
            </w:r>
          </w:p>
          <w:p w:rsidR="006606C2" w:rsidRDefault="006606C2" w:rsidP="006606C2">
            <w:pPr>
              <w:rPr>
                <w:b w:val="0"/>
                <w:sz w:val="22"/>
                <w:szCs w:val="22"/>
              </w:rPr>
            </w:pPr>
            <w:r>
              <w:rPr>
                <w:sz w:val="18"/>
              </w:rPr>
              <w:t>ESSER I/CARES ACT</w:t>
            </w:r>
          </w:p>
          <w:p w:rsidR="00824793" w:rsidRDefault="006606C2" w:rsidP="006606C2">
            <w:r w:rsidRPr="006D7B27">
              <w:rPr>
                <w:sz w:val="18"/>
              </w:rPr>
              <w:t>ESSER I 18005(a)</w:t>
            </w:r>
          </w:p>
        </w:tc>
        <w:tc>
          <w:tcPr>
            <w:tcW w:w="201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24793" w:rsidRPr="00C75DC0" w:rsidRDefault="00824793" w:rsidP="00D00C99">
            <w:pPr>
              <w:rPr>
                <w:sz w:val="22"/>
                <w:szCs w:val="22"/>
              </w:rPr>
            </w:pPr>
            <w:r w:rsidRPr="00C75DC0">
              <w:rPr>
                <w:sz w:val="22"/>
                <w:szCs w:val="22"/>
              </w:rPr>
              <w:t>Supporting Documents and Resources</w:t>
            </w:r>
          </w:p>
        </w:tc>
        <w:tc>
          <w:tcPr>
            <w:tcW w:w="121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24793" w:rsidRPr="00C75DC0" w:rsidRDefault="00824793" w:rsidP="00D00C99">
            <w:pPr>
              <w:rPr>
                <w:sz w:val="22"/>
                <w:szCs w:val="22"/>
              </w:rPr>
            </w:pPr>
            <w:r w:rsidRPr="00C75DC0">
              <w:rPr>
                <w:sz w:val="22"/>
                <w:szCs w:val="22"/>
              </w:rPr>
              <w:t>Comments</w:t>
            </w:r>
          </w:p>
        </w:tc>
      </w:tr>
      <w:tr w:rsidR="00824793" w:rsidTr="003727D0">
        <w:trPr>
          <w:trHeight w:val="2798"/>
        </w:trPr>
        <w:tc>
          <w:tcPr>
            <w:tcW w:w="177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06C2" w:rsidRDefault="006606C2" w:rsidP="006606C2">
            <w:pPr>
              <w:spacing w:before="0" w:after="0"/>
              <w:rPr>
                <w:sz w:val="18"/>
              </w:rPr>
            </w:pPr>
            <w:r w:rsidRPr="006D7B27">
              <w:rPr>
                <w:sz w:val="18"/>
              </w:rPr>
              <w:t>ESSER I:</w:t>
            </w:r>
          </w:p>
          <w:p w:rsidR="006606C2" w:rsidRPr="006D7B27" w:rsidRDefault="006606C2" w:rsidP="006606C2">
            <w:pPr>
              <w:spacing w:before="0" w:after="0"/>
              <w:rPr>
                <w:sz w:val="18"/>
              </w:rPr>
            </w:pPr>
          </w:p>
          <w:p w:rsidR="00824793" w:rsidRDefault="006606C2" w:rsidP="006606C2">
            <w:r w:rsidRPr="006D7B27">
              <w:rPr>
                <w:sz w:val="18"/>
              </w:rPr>
              <w:t>SEC. 18005 (a) IN GENERAL.—A local educational agency receiving funds under sections 18002 or 18003 of this title shall provide equitable services in the same manner as provided under section 1117 of the ESEA of 1965 to students and teachers in non-public schools, as determined in consultation with representatives of non-public schools</w:t>
            </w:r>
          </w:p>
        </w:tc>
        <w:tc>
          <w:tcPr>
            <w:tcW w:w="201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06C2" w:rsidRPr="00F26133" w:rsidRDefault="006606C2" w:rsidP="00722015">
            <w:pPr>
              <w:pStyle w:val="TableParagraph"/>
              <w:spacing w:before="100"/>
              <w:ind w:left="0"/>
              <w:rPr>
                <w:b/>
                <w:sz w:val="18"/>
                <w:szCs w:val="18"/>
              </w:rPr>
            </w:pPr>
            <w:r w:rsidRPr="00F26133">
              <w:rPr>
                <w:b/>
                <w:sz w:val="18"/>
                <w:szCs w:val="18"/>
              </w:rPr>
              <w:t>Demonstration of Compliance</w:t>
            </w:r>
          </w:p>
          <w:p w:rsidR="00470189" w:rsidRDefault="00470189" w:rsidP="00256027">
            <w:pPr>
              <w:numPr>
                <w:ilvl w:val="0"/>
                <w:numId w:val="9"/>
              </w:numPr>
              <w:spacing w:before="0" w:after="0"/>
              <w:textAlignment w:val="baseline"/>
              <w:rPr>
                <w:rFonts w:ascii="Arial" w:hAnsi="Arial" w:cs="Arial"/>
                <w:color w:val="auto"/>
                <w:sz w:val="18"/>
              </w:rPr>
            </w:pPr>
            <w:r>
              <w:rPr>
                <w:sz w:val="18"/>
              </w:rPr>
              <w:t>List of Private Schools in District</w:t>
            </w:r>
            <w:r w:rsidR="00122C74">
              <w:rPr>
                <w:sz w:val="18"/>
              </w:rPr>
              <w:t>.</w:t>
            </w:r>
          </w:p>
          <w:p w:rsidR="00470189" w:rsidRDefault="00470189" w:rsidP="00256027">
            <w:pPr>
              <w:numPr>
                <w:ilvl w:val="0"/>
                <w:numId w:val="9"/>
              </w:numPr>
              <w:spacing w:before="0" w:after="0"/>
              <w:textAlignment w:val="baseline"/>
              <w:rPr>
                <w:rFonts w:ascii="Arial" w:hAnsi="Arial" w:cs="Arial"/>
                <w:sz w:val="18"/>
              </w:rPr>
            </w:pPr>
            <w:r>
              <w:rPr>
                <w:sz w:val="18"/>
              </w:rPr>
              <w:t xml:space="preserve">Documentation of the calculation formula of </w:t>
            </w:r>
            <w:r w:rsidRPr="00256027">
              <w:rPr>
                <w:sz w:val="18"/>
                <w:u w:val="single"/>
              </w:rPr>
              <w:t>ESSER Funding</w:t>
            </w:r>
            <w:r>
              <w:rPr>
                <w:sz w:val="18"/>
              </w:rPr>
              <w:t xml:space="preserve"> to the private school. </w:t>
            </w:r>
          </w:p>
          <w:p w:rsidR="00470189" w:rsidRDefault="00470189" w:rsidP="00256027">
            <w:pPr>
              <w:numPr>
                <w:ilvl w:val="0"/>
                <w:numId w:val="9"/>
              </w:numPr>
              <w:spacing w:before="0" w:after="0"/>
              <w:textAlignment w:val="baseline"/>
              <w:rPr>
                <w:rFonts w:ascii="Arial" w:hAnsi="Arial" w:cs="Arial"/>
                <w:sz w:val="18"/>
              </w:rPr>
            </w:pPr>
            <w:r>
              <w:rPr>
                <w:color w:val="262626"/>
                <w:sz w:val="18"/>
              </w:rPr>
              <w:t xml:space="preserve">Copy of completed </w:t>
            </w:r>
            <w:hyperlink r:id="rId10" w:tgtFrame="_blank" w:history="1">
              <w:r>
                <w:rPr>
                  <w:rStyle w:val="Hyperlink"/>
                  <w:color w:val="2B63AC"/>
                  <w:sz w:val="18"/>
                </w:rPr>
                <w:t>Intent to Participate and Consultation Form</w:t>
              </w:r>
            </w:hyperlink>
            <w:r>
              <w:rPr>
                <w:sz w:val="18"/>
              </w:rPr>
              <w:t xml:space="preserve"> </w:t>
            </w:r>
            <w:r>
              <w:rPr>
                <w:color w:val="262626"/>
                <w:sz w:val="18"/>
              </w:rPr>
              <w:t>from each private school within district boundaries; signed by private school officials and submitted to the State Department of Education. </w:t>
            </w:r>
          </w:p>
          <w:p w:rsidR="00C00A30" w:rsidRPr="00470189" w:rsidRDefault="00470189" w:rsidP="00256027">
            <w:pPr>
              <w:numPr>
                <w:ilvl w:val="0"/>
                <w:numId w:val="9"/>
              </w:numPr>
              <w:spacing w:before="0" w:after="0"/>
              <w:textAlignment w:val="baseline"/>
              <w:rPr>
                <w:rFonts w:ascii="Arial" w:hAnsi="Arial" w:cs="Arial"/>
                <w:sz w:val="18"/>
              </w:rPr>
            </w:pPr>
            <w:r>
              <w:rPr>
                <w:color w:val="262626"/>
                <w:sz w:val="18"/>
              </w:rPr>
              <w:t>Explanation of the equitable services provided to the private schools using the CARES Act funding. </w:t>
            </w:r>
          </w:p>
          <w:p w:rsidR="00C00A30" w:rsidRPr="00C00A30" w:rsidRDefault="0034594A" w:rsidP="00256027">
            <w:pPr>
              <w:pStyle w:val="ListBullet"/>
              <w:numPr>
                <w:ilvl w:val="0"/>
                <w:numId w:val="9"/>
              </w:numPr>
              <w:spacing w:before="0" w:after="0"/>
              <w:rPr>
                <w:sz w:val="18"/>
                <w:lang w:eastAsia="en-US"/>
              </w:rPr>
            </w:pPr>
            <w:r w:rsidRPr="0034594A">
              <w:rPr>
                <w:sz w:val="18"/>
                <w:lang w:eastAsia="en-US"/>
              </w:rPr>
              <w:t>LEA will provide statement if equitable services do</w:t>
            </w:r>
            <w:r w:rsidR="00B53215">
              <w:rPr>
                <w:sz w:val="18"/>
                <w:lang w:eastAsia="en-US"/>
              </w:rPr>
              <w:t>es</w:t>
            </w:r>
            <w:r w:rsidRPr="0034594A">
              <w:rPr>
                <w:sz w:val="18"/>
                <w:lang w:eastAsia="en-US"/>
              </w:rPr>
              <w:t xml:space="preserve"> not apply to LEA.</w:t>
            </w:r>
            <w:r w:rsidR="00C00A30" w:rsidRPr="00C00A30">
              <w:rPr>
                <w:sz w:val="18"/>
                <w:lang w:eastAsia="en-US"/>
              </w:rPr>
              <w:t xml:space="preserve"> </w:t>
            </w:r>
          </w:p>
        </w:tc>
        <w:tc>
          <w:tcPr>
            <w:tcW w:w="121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24793" w:rsidRDefault="00824793" w:rsidP="00D00C99"/>
        </w:tc>
      </w:tr>
    </w:tbl>
    <w:p w:rsidR="006606C2" w:rsidRPr="006D7B27" w:rsidRDefault="006606C2" w:rsidP="006606C2">
      <w:pPr>
        <w:keepNext/>
        <w:keepLines/>
        <w:spacing w:before="600" w:after="240" w:line="240" w:lineRule="auto"/>
        <w:outlineLvl w:val="0"/>
        <w:rPr>
          <w:b/>
          <w:bCs/>
          <w:caps/>
          <w:color w:val="112845" w:themeColor="text2" w:themeShade="BF"/>
          <w:sz w:val="40"/>
          <w:szCs w:val="40"/>
        </w:rPr>
      </w:pPr>
      <w:r>
        <w:rPr>
          <w:b/>
          <w:bCs/>
          <w:caps/>
          <w:color w:val="112845" w:themeColor="text2" w:themeShade="BF"/>
          <w:sz w:val="40"/>
          <w:szCs w:val="40"/>
        </w:rPr>
        <w:lastRenderedPageBreak/>
        <w:t>identification and delivery of services (IDS)</w:t>
      </w:r>
    </w:p>
    <w:p w:rsidR="006606C2" w:rsidRPr="006D7B27" w:rsidRDefault="006606C2" w:rsidP="006606C2">
      <w:pPr>
        <w:keepNext/>
        <w:keepLines/>
        <w:spacing w:before="600" w:after="240" w:line="240" w:lineRule="auto"/>
        <w:outlineLvl w:val="0"/>
      </w:pPr>
      <w:r>
        <w:rPr>
          <w:b/>
          <w:bCs/>
          <w:caps/>
          <w:color w:val="112845" w:themeColor="text2" w:themeShade="BF"/>
          <w:sz w:val="32"/>
          <w:szCs w:val="28"/>
        </w:rPr>
        <w:t>20% set-aside</w:t>
      </w:r>
    </w:p>
    <w:tbl>
      <w:tblPr>
        <w:tblStyle w:val="ProposalTable"/>
        <w:tblW w:w="5000" w:type="pct"/>
        <w:tblLook w:val="04A0" w:firstRow="1" w:lastRow="0" w:firstColumn="1" w:lastColumn="0" w:noHBand="0" w:noVBand="1"/>
      </w:tblPr>
      <w:tblGrid>
        <w:gridCol w:w="4675"/>
        <w:gridCol w:w="5131"/>
        <w:gridCol w:w="3144"/>
      </w:tblGrid>
      <w:tr w:rsidR="00824793" w:rsidRPr="00C75DC0" w:rsidTr="003727D0">
        <w:trPr>
          <w:cnfStyle w:val="100000000000" w:firstRow="1" w:lastRow="0" w:firstColumn="0" w:lastColumn="0" w:oddVBand="0" w:evenVBand="0" w:oddHBand="0" w:evenHBand="0" w:firstRowFirstColumn="0" w:firstRowLastColumn="0" w:lastRowFirstColumn="0" w:lastRowLastColumn="0"/>
          <w:tblHeader/>
        </w:trPr>
        <w:tc>
          <w:tcPr>
            <w:tcW w:w="1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606C2" w:rsidRDefault="006606C2" w:rsidP="006606C2">
            <w:pPr>
              <w:rPr>
                <w:b w:val="0"/>
                <w:sz w:val="22"/>
                <w:szCs w:val="22"/>
              </w:rPr>
            </w:pPr>
            <w:r w:rsidRPr="00B074A5">
              <w:rPr>
                <w:sz w:val="22"/>
                <w:szCs w:val="22"/>
              </w:rPr>
              <w:t>Citation</w:t>
            </w:r>
          </w:p>
          <w:p w:rsidR="006606C2" w:rsidRDefault="006606C2" w:rsidP="006606C2">
            <w:pPr>
              <w:rPr>
                <w:b w:val="0"/>
                <w:sz w:val="22"/>
                <w:szCs w:val="22"/>
              </w:rPr>
            </w:pPr>
            <w:r>
              <w:rPr>
                <w:sz w:val="18"/>
              </w:rPr>
              <w:t>ARP ESSER III</w:t>
            </w:r>
          </w:p>
          <w:p w:rsidR="00824793" w:rsidRDefault="006606C2" w:rsidP="006606C2">
            <w:r w:rsidRPr="006D7B27">
              <w:rPr>
                <w:color w:val="auto"/>
                <w:sz w:val="18"/>
              </w:rPr>
              <w:t>ESSER III 2001.e.1</w:t>
            </w:r>
          </w:p>
        </w:tc>
        <w:tc>
          <w:tcPr>
            <w:tcW w:w="198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24793" w:rsidRPr="00C75DC0" w:rsidRDefault="00824793" w:rsidP="00D00C99">
            <w:pPr>
              <w:rPr>
                <w:sz w:val="22"/>
                <w:szCs w:val="22"/>
              </w:rPr>
            </w:pPr>
            <w:r w:rsidRPr="00C75DC0">
              <w:rPr>
                <w:sz w:val="22"/>
                <w:szCs w:val="22"/>
              </w:rPr>
              <w:t>Supporting Documents and Resources</w:t>
            </w:r>
          </w:p>
        </w:tc>
        <w:tc>
          <w:tcPr>
            <w:tcW w:w="121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24793" w:rsidRPr="00C75DC0" w:rsidRDefault="00824793" w:rsidP="00D00C99">
            <w:pPr>
              <w:rPr>
                <w:sz w:val="22"/>
                <w:szCs w:val="22"/>
              </w:rPr>
            </w:pPr>
            <w:r w:rsidRPr="00C75DC0">
              <w:rPr>
                <w:sz w:val="22"/>
                <w:szCs w:val="22"/>
              </w:rPr>
              <w:t>Comments</w:t>
            </w:r>
          </w:p>
        </w:tc>
      </w:tr>
      <w:tr w:rsidR="00824793" w:rsidTr="003727D0">
        <w:trPr>
          <w:trHeight w:val="3473"/>
        </w:trPr>
        <w:tc>
          <w:tcPr>
            <w:tcW w:w="1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606C2" w:rsidRPr="006D7B27" w:rsidRDefault="006606C2" w:rsidP="006606C2">
            <w:pPr>
              <w:spacing w:before="0" w:after="0"/>
              <w:rPr>
                <w:sz w:val="18"/>
              </w:rPr>
            </w:pPr>
            <w:r w:rsidRPr="006D7B27">
              <w:rPr>
                <w:sz w:val="18"/>
              </w:rPr>
              <w:t>The LEA shall reserve no less than 20 percent of such funds to address learning loss through the implementation of evidence-based interventions, such as summer learning or summer enrichment, extended day, comprehensive afterschool programs, or extended school year programs, and ensure that such interventions respond to students’ academic, social, and emotional needs and address the disproportionate impact of the coronavirus on the student subgroups described in section 1111(b)(2)(B)(xi) of the Elementary and Secondary Education Act of 1965 (20 U.S.C. 6311(b)(2)(B)(xi)), students experiencing homelessness, and children and youth in foster care.</w:t>
            </w:r>
          </w:p>
          <w:p w:rsidR="006606C2" w:rsidRDefault="006606C2" w:rsidP="006606C2">
            <w:pPr>
              <w:spacing w:before="0" w:after="0"/>
              <w:rPr>
                <w:sz w:val="18"/>
              </w:rPr>
            </w:pPr>
            <w:r w:rsidRPr="006D7B27">
              <w:rPr>
                <w:sz w:val="18"/>
              </w:rPr>
              <w:t>The ARP Act defines the term “evidence-based” as having the meaning in section 8101(21) of the ESEA.</w:t>
            </w:r>
          </w:p>
          <w:p w:rsidR="00824793" w:rsidRDefault="00824793" w:rsidP="00D00C99"/>
        </w:tc>
        <w:tc>
          <w:tcPr>
            <w:tcW w:w="198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24793" w:rsidRDefault="006606C2" w:rsidP="00722015">
            <w:pPr>
              <w:pStyle w:val="TableParagraph"/>
              <w:spacing w:before="101" w:line="268" w:lineRule="exact"/>
              <w:ind w:left="0"/>
              <w:rPr>
                <w:color w:val="2B63AC" w:themeColor="background2" w:themeShade="80"/>
                <w:sz w:val="18"/>
                <w:u w:val="single"/>
              </w:rPr>
            </w:pPr>
            <w:r w:rsidRPr="00F26133">
              <w:rPr>
                <w:b/>
                <w:sz w:val="18"/>
                <w:szCs w:val="18"/>
              </w:rPr>
              <w:t>Demonstration of Compliance</w:t>
            </w:r>
          </w:p>
          <w:p w:rsidR="00953229" w:rsidRDefault="00953229" w:rsidP="0031441D">
            <w:pPr>
              <w:pStyle w:val="ListParagraph"/>
              <w:numPr>
                <w:ilvl w:val="0"/>
                <w:numId w:val="10"/>
              </w:numPr>
              <w:spacing w:after="0" w:line="240" w:lineRule="auto"/>
              <w:rPr>
                <w:sz w:val="18"/>
                <w:lang w:bidi="en-US"/>
              </w:rPr>
            </w:pPr>
            <w:r>
              <w:rPr>
                <w:sz w:val="18"/>
                <w:lang w:bidi="en-US"/>
              </w:rPr>
              <w:t>The LEA uploads a narrative and detailed expenditure report</w:t>
            </w:r>
            <w:r w:rsidR="00B32DEC">
              <w:rPr>
                <w:sz w:val="18"/>
                <w:lang w:bidi="en-US"/>
              </w:rPr>
              <w:t>/s</w:t>
            </w:r>
            <w:r>
              <w:rPr>
                <w:sz w:val="18"/>
                <w:lang w:bidi="en-US"/>
              </w:rPr>
              <w:t xml:space="preserve"> of ESSER funds used for learning loss. </w:t>
            </w:r>
          </w:p>
          <w:p w:rsidR="00722015" w:rsidRPr="00722015" w:rsidRDefault="00722015" w:rsidP="0031441D">
            <w:pPr>
              <w:pStyle w:val="ListParagraph"/>
              <w:numPr>
                <w:ilvl w:val="0"/>
                <w:numId w:val="10"/>
              </w:numPr>
              <w:spacing w:after="0" w:line="240" w:lineRule="auto"/>
              <w:rPr>
                <w:sz w:val="18"/>
                <w:lang w:bidi="en-US"/>
              </w:rPr>
            </w:pPr>
            <w:r w:rsidRPr="00722015">
              <w:rPr>
                <w:sz w:val="18"/>
                <w:lang w:bidi="en-US"/>
              </w:rPr>
              <w:t>The LEA has used funds to address the academic, social, emotional, and mental health needs of students.</w:t>
            </w:r>
          </w:p>
          <w:p w:rsidR="00722015" w:rsidRPr="00722015" w:rsidRDefault="00722015" w:rsidP="0031441D">
            <w:pPr>
              <w:pStyle w:val="ListParagraph"/>
              <w:numPr>
                <w:ilvl w:val="0"/>
                <w:numId w:val="10"/>
              </w:numPr>
              <w:spacing w:after="0" w:line="240" w:lineRule="auto"/>
              <w:rPr>
                <w:sz w:val="18"/>
                <w:lang w:bidi="en-US"/>
              </w:rPr>
            </w:pPr>
            <w:r w:rsidRPr="00722015">
              <w:rPr>
                <w:sz w:val="18"/>
                <w:lang w:bidi="en-US"/>
              </w:rPr>
              <w:t>The LEA ha</w:t>
            </w:r>
            <w:r w:rsidR="00B53215">
              <w:rPr>
                <w:sz w:val="18"/>
                <w:lang w:bidi="en-US"/>
              </w:rPr>
              <w:t>d</w:t>
            </w:r>
            <w:r w:rsidRPr="00722015">
              <w:rPr>
                <w:sz w:val="18"/>
                <w:lang w:bidi="en-US"/>
              </w:rPr>
              <w:t xml:space="preserve"> a process for identifying and ensuring the academic, social, emotional, and mental health needs of students, including students from low-income families, students of color, English learners, children with disabilities, students experiencing homelessness, children and youth in foster care, and migratory students.</w:t>
            </w:r>
          </w:p>
          <w:p w:rsidR="00722015" w:rsidRPr="00722015" w:rsidRDefault="00722015" w:rsidP="0031441D">
            <w:pPr>
              <w:pStyle w:val="ListParagraph"/>
              <w:numPr>
                <w:ilvl w:val="0"/>
                <w:numId w:val="10"/>
              </w:numPr>
              <w:spacing w:after="0" w:line="240" w:lineRule="auto"/>
              <w:rPr>
                <w:sz w:val="18"/>
                <w:lang w:bidi="en-US"/>
              </w:rPr>
            </w:pPr>
            <w:r w:rsidRPr="00722015">
              <w:rPr>
                <w:sz w:val="18"/>
                <w:lang w:bidi="en-US"/>
              </w:rPr>
              <w:t>The LEA ha</w:t>
            </w:r>
            <w:r w:rsidR="00B53215">
              <w:rPr>
                <w:sz w:val="18"/>
                <w:lang w:bidi="en-US"/>
              </w:rPr>
              <w:t>d</w:t>
            </w:r>
            <w:r w:rsidRPr="00722015">
              <w:rPr>
                <w:sz w:val="18"/>
                <w:lang w:bidi="en-US"/>
              </w:rPr>
              <w:t xml:space="preserve"> a plan for students who have missed the most in-person instruction during the 2019-2020 and 2020-2021 school years, students who did not consistently participate in remote instruction when offered during school building closures, and students most at-risk of dropping out of school.</w:t>
            </w:r>
          </w:p>
          <w:p w:rsidR="00722015" w:rsidRPr="00722015" w:rsidRDefault="00722015" w:rsidP="0031441D">
            <w:pPr>
              <w:pStyle w:val="ListParagraph"/>
              <w:numPr>
                <w:ilvl w:val="0"/>
                <w:numId w:val="10"/>
              </w:numPr>
              <w:spacing w:after="0" w:line="240" w:lineRule="auto"/>
              <w:rPr>
                <w:sz w:val="18"/>
                <w:lang w:bidi="en-US"/>
              </w:rPr>
            </w:pPr>
            <w:r w:rsidRPr="00722015">
              <w:rPr>
                <w:sz w:val="18"/>
                <w:lang w:bidi="en-US"/>
              </w:rPr>
              <w:t>Activities implemented by the LEA to address learning loss meet the criteria for being evidence-based interventions based on ESEA Section 8101(21)(A) and USDE guidance.</w:t>
            </w:r>
          </w:p>
          <w:p w:rsidR="00F13D4B" w:rsidRPr="00F13D4B" w:rsidRDefault="00722015" w:rsidP="00F13D4B">
            <w:pPr>
              <w:pStyle w:val="ListParagraph"/>
              <w:numPr>
                <w:ilvl w:val="0"/>
                <w:numId w:val="10"/>
              </w:numPr>
              <w:spacing w:after="0" w:line="240" w:lineRule="auto"/>
              <w:rPr>
                <w:sz w:val="18"/>
                <w:lang w:bidi="en-US"/>
              </w:rPr>
            </w:pPr>
            <w:r w:rsidRPr="00722015">
              <w:rPr>
                <w:sz w:val="18"/>
                <w:lang w:bidi="en-US"/>
              </w:rPr>
              <w:t>The LEA ha</w:t>
            </w:r>
            <w:r w:rsidR="00B53215">
              <w:rPr>
                <w:sz w:val="18"/>
                <w:lang w:bidi="en-US"/>
              </w:rPr>
              <w:t>d</w:t>
            </w:r>
            <w:r w:rsidRPr="00722015">
              <w:rPr>
                <w:sz w:val="18"/>
                <w:lang w:bidi="en-US"/>
              </w:rPr>
              <w:t xml:space="preserve"> implemented any evidence-based interventions to all students such as: summer learning, summer enrichment, extended instructional time (day, week, year), comprehensive after school programs, high dosage tutoring, childhood expansion or enhancement, full service community schools, educational technology, other evidence-based interventions aimed at learning loss</w:t>
            </w:r>
            <w:r w:rsidRPr="0034594A">
              <w:rPr>
                <w:sz w:val="18"/>
                <w:lang w:bidi="en-US"/>
              </w:rPr>
              <w:t>.</w:t>
            </w:r>
            <w:r w:rsidR="00F13D4B" w:rsidRPr="0034594A">
              <w:rPr>
                <w:sz w:val="18"/>
                <w:lang w:bidi="en-US"/>
              </w:rPr>
              <w:t xml:space="preserve"> </w:t>
            </w:r>
          </w:p>
        </w:tc>
        <w:tc>
          <w:tcPr>
            <w:tcW w:w="121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24793" w:rsidRPr="00F13D4B" w:rsidRDefault="00824793" w:rsidP="00D00C99">
            <w:pPr>
              <w:rPr>
                <w:sz w:val="18"/>
              </w:rPr>
            </w:pPr>
          </w:p>
        </w:tc>
      </w:tr>
    </w:tbl>
    <w:p w:rsidR="00824793" w:rsidRPr="006B1BC0" w:rsidRDefault="00B856B0" w:rsidP="006B1BC0">
      <w:pPr>
        <w:pStyle w:val="Heading1"/>
        <w:rPr>
          <w:rStyle w:val="IntenseEmphasis"/>
          <w:b/>
          <w:iCs w:val="0"/>
          <w:caps/>
          <w:color w:val="0E3354"/>
          <w:sz w:val="28"/>
          <w:szCs w:val="32"/>
        </w:rPr>
      </w:pPr>
      <w:r>
        <w:rPr>
          <w:szCs w:val="32"/>
        </w:rPr>
        <w:lastRenderedPageBreak/>
        <w:t>use of funds</w:t>
      </w:r>
    </w:p>
    <w:tbl>
      <w:tblPr>
        <w:tblStyle w:val="ProposalTable"/>
        <w:tblpPr w:leftFromText="180" w:rightFromText="180" w:vertAnchor="text" w:tblpY="1"/>
        <w:tblOverlap w:val="never"/>
        <w:tblW w:w="5000" w:type="pct"/>
        <w:tblLook w:val="04A0" w:firstRow="1" w:lastRow="0" w:firstColumn="1" w:lastColumn="0" w:noHBand="0" w:noVBand="1"/>
      </w:tblPr>
      <w:tblGrid>
        <w:gridCol w:w="4675"/>
        <w:gridCol w:w="5131"/>
        <w:gridCol w:w="3144"/>
      </w:tblGrid>
      <w:tr w:rsidR="00824793" w:rsidRPr="00C75DC0" w:rsidTr="003727D0">
        <w:trPr>
          <w:cnfStyle w:val="100000000000" w:firstRow="1" w:lastRow="0" w:firstColumn="0" w:lastColumn="0" w:oddVBand="0" w:evenVBand="0" w:oddHBand="0" w:evenHBand="0" w:firstRowFirstColumn="0" w:firstRowLastColumn="0" w:lastRowFirstColumn="0" w:lastRowLastColumn="0"/>
          <w:tblHeader/>
        </w:trPr>
        <w:tc>
          <w:tcPr>
            <w:tcW w:w="1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856B0" w:rsidRDefault="00B856B0" w:rsidP="00B856B0">
            <w:pPr>
              <w:rPr>
                <w:b w:val="0"/>
                <w:sz w:val="22"/>
                <w:szCs w:val="22"/>
              </w:rPr>
            </w:pPr>
            <w:r w:rsidRPr="00B074A5">
              <w:rPr>
                <w:sz w:val="22"/>
                <w:szCs w:val="22"/>
              </w:rPr>
              <w:t>Citation</w:t>
            </w:r>
          </w:p>
          <w:p w:rsidR="00B856B0" w:rsidRDefault="00B856B0" w:rsidP="00B856B0">
            <w:pPr>
              <w:rPr>
                <w:color w:val="auto"/>
                <w:sz w:val="18"/>
              </w:rPr>
            </w:pPr>
            <w:r>
              <w:rPr>
                <w:color w:val="auto"/>
                <w:sz w:val="18"/>
              </w:rPr>
              <w:t>ESSER I</w:t>
            </w:r>
          </w:p>
          <w:p w:rsidR="00B856B0" w:rsidRDefault="00B856B0" w:rsidP="00B856B0">
            <w:pPr>
              <w:rPr>
                <w:color w:val="auto"/>
                <w:sz w:val="18"/>
              </w:rPr>
            </w:pPr>
            <w:r>
              <w:rPr>
                <w:color w:val="auto"/>
                <w:sz w:val="18"/>
              </w:rPr>
              <w:t>ESSER II</w:t>
            </w:r>
          </w:p>
          <w:p w:rsidR="00B856B0" w:rsidRDefault="00B856B0" w:rsidP="00B856B0">
            <w:pPr>
              <w:rPr>
                <w:b w:val="0"/>
                <w:sz w:val="22"/>
                <w:szCs w:val="22"/>
              </w:rPr>
            </w:pPr>
            <w:r>
              <w:rPr>
                <w:color w:val="auto"/>
                <w:sz w:val="18"/>
              </w:rPr>
              <w:t>ARP ESSER III</w:t>
            </w:r>
          </w:p>
          <w:p w:rsidR="00B856B0" w:rsidRPr="006D7B27" w:rsidRDefault="00B856B0" w:rsidP="00B856B0">
            <w:pPr>
              <w:spacing w:before="0" w:after="0"/>
              <w:rPr>
                <w:sz w:val="18"/>
              </w:rPr>
            </w:pPr>
            <w:r w:rsidRPr="006D7B27">
              <w:rPr>
                <w:sz w:val="18"/>
              </w:rPr>
              <w:t>ESSER I 18003(d)(1-12)</w:t>
            </w:r>
          </w:p>
          <w:p w:rsidR="00B856B0" w:rsidRPr="006D7B27" w:rsidRDefault="00B856B0" w:rsidP="00B856B0">
            <w:pPr>
              <w:spacing w:before="0" w:after="0"/>
              <w:rPr>
                <w:sz w:val="18"/>
              </w:rPr>
            </w:pPr>
            <w:r w:rsidRPr="006D7B27">
              <w:rPr>
                <w:sz w:val="18"/>
              </w:rPr>
              <w:t>ESSER II 313(d)(1-15)</w:t>
            </w:r>
          </w:p>
          <w:p w:rsidR="00824793" w:rsidRDefault="00B856B0" w:rsidP="00B856B0">
            <w:r w:rsidRPr="006D7B27">
              <w:rPr>
                <w:sz w:val="18"/>
              </w:rPr>
              <w:t>ESSER III 2001(e)(1), 2001(e)(2)(A-J)</w:t>
            </w:r>
          </w:p>
        </w:tc>
        <w:tc>
          <w:tcPr>
            <w:tcW w:w="198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24793" w:rsidRPr="00C75DC0" w:rsidRDefault="00824793" w:rsidP="00B856B0">
            <w:pPr>
              <w:rPr>
                <w:sz w:val="22"/>
                <w:szCs w:val="22"/>
              </w:rPr>
            </w:pPr>
            <w:r w:rsidRPr="00C75DC0">
              <w:rPr>
                <w:sz w:val="22"/>
                <w:szCs w:val="22"/>
              </w:rPr>
              <w:t>Supporting Documents and Resources</w:t>
            </w:r>
          </w:p>
        </w:tc>
        <w:tc>
          <w:tcPr>
            <w:tcW w:w="121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24793" w:rsidRPr="00C75DC0" w:rsidRDefault="00824793" w:rsidP="00B856B0">
            <w:pPr>
              <w:rPr>
                <w:sz w:val="22"/>
                <w:szCs w:val="22"/>
              </w:rPr>
            </w:pPr>
            <w:r w:rsidRPr="00C75DC0">
              <w:rPr>
                <w:sz w:val="22"/>
                <w:szCs w:val="22"/>
              </w:rPr>
              <w:t>Comments</w:t>
            </w:r>
          </w:p>
        </w:tc>
      </w:tr>
      <w:tr w:rsidR="00824793" w:rsidTr="003727D0">
        <w:tc>
          <w:tcPr>
            <w:tcW w:w="1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856B0" w:rsidRPr="006D7B27" w:rsidRDefault="00B856B0" w:rsidP="00B856B0">
            <w:pPr>
              <w:spacing w:before="0" w:after="0"/>
              <w:rPr>
                <w:sz w:val="18"/>
              </w:rPr>
            </w:pPr>
            <w:r w:rsidRPr="006D7B27">
              <w:rPr>
                <w:sz w:val="18"/>
              </w:rPr>
              <w:t>ESSER I:</w:t>
            </w:r>
          </w:p>
          <w:p w:rsidR="00B856B0" w:rsidRPr="006D7B27" w:rsidRDefault="00B856B0" w:rsidP="00B856B0">
            <w:pPr>
              <w:spacing w:before="0" w:after="0"/>
              <w:rPr>
                <w:sz w:val="18"/>
              </w:rPr>
            </w:pPr>
            <w:r w:rsidRPr="006D7B27">
              <w:rPr>
                <w:sz w:val="18"/>
              </w:rPr>
              <w:t>All activities and expenditures align with those described in the approved ESSER I application and are in compliance with CARES Act Sec. 18003(d</w:t>
            </w:r>
            <w:proofErr w:type="gramStart"/>
            <w:r w:rsidRPr="006D7B27">
              <w:rPr>
                <w:sz w:val="18"/>
              </w:rPr>
              <w:t>)(</w:t>
            </w:r>
            <w:proofErr w:type="gramEnd"/>
            <w:r w:rsidRPr="006D7B27">
              <w:rPr>
                <w:sz w:val="18"/>
              </w:rPr>
              <w:t>1-12).</w:t>
            </w:r>
          </w:p>
          <w:p w:rsidR="00B856B0" w:rsidRDefault="00B856B0" w:rsidP="00B856B0">
            <w:pPr>
              <w:spacing w:before="0" w:after="0"/>
              <w:rPr>
                <w:sz w:val="18"/>
              </w:rPr>
            </w:pPr>
          </w:p>
          <w:p w:rsidR="00B856B0" w:rsidRPr="006D7B27" w:rsidRDefault="00B856B0" w:rsidP="00B856B0">
            <w:pPr>
              <w:spacing w:before="0" w:after="0"/>
              <w:rPr>
                <w:sz w:val="18"/>
              </w:rPr>
            </w:pPr>
            <w:r w:rsidRPr="006D7B27">
              <w:rPr>
                <w:sz w:val="18"/>
              </w:rPr>
              <w:t>ESSER II:</w:t>
            </w:r>
          </w:p>
          <w:p w:rsidR="00B856B0" w:rsidRPr="006D7B27" w:rsidRDefault="00B856B0" w:rsidP="00B856B0">
            <w:pPr>
              <w:spacing w:before="0" w:after="0"/>
              <w:rPr>
                <w:sz w:val="18"/>
              </w:rPr>
            </w:pPr>
            <w:r w:rsidRPr="006D7B27">
              <w:rPr>
                <w:sz w:val="18"/>
              </w:rPr>
              <w:t>All activities and expenditures align with those described in the approved ESSER II application and are in compliance with CRSAA Sec. 313(d</w:t>
            </w:r>
            <w:proofErr w:type="gramStart"/>
            <w:r w:rsidRPr="006D7B27">
              <w:rPr>
                <w:sz w:val="18"/>
              </w:rPr>
              <w:t>)(</w:t>
            </w:r>
            <w:proofErr w:type="gramEnd"/>
            <w:r w:rsidRPr="006D7B27">
              <w:rPr>
                <w:sz w:val="18"/>
              </w:rPr>
              <w:t>1-15).</w:t>
            </w:r>
          </w:p>
          <w:p w:rsidR="00B856B0" w:rsidRDefault="00B856B0" w:rsidP="00B856B0">
            <w:pPr>
              <w:spacing w:before="0" w:after="0"/>
              <w:rPr>
                <w:sz w:val="18"/>
              </w:rPr>
            </w:pPr>
          </w:p>
          <w:p w:rsidR="00B856B0" w:rsidRPr="006D7B27" w:rsidRDefault="00B856B0" w:rsidP="00B856B0">
            <w:pPr>
              <w:spacing w:before="0" w:after="0"/>
              <w:rPr>
                <w:sz w:val="18"/>
              </w:rPr>
            </w:pPr>
            <w:r w:rsidRPr="006D7B27">
              <w:rPr>
                <w:sz w:val="18"/>
              </w:rPr>
              <w:t>ARP ESSER III:</w:t>
            </w:r>
          </w:p>
          <w:p w:rsidR="00B856B0" w:rsidRPr="006D7B27" w:rsidRDefault="00B856B0" w:rsidP="00B856B0">
            <w:pPr>
              <w:spacing w:before="0" w:after="0"/>
              <w:rPr>
                <w:sz w:val="18"/>
              </w:rPr>
            </w:pPr>
            <w:r w:rsidRPr="006D7B27">
              <w:rPr>
                <w:sz w:val="18"/>
              </w:rPr>
              <w:t>All activities and expenditures align with those described in the approved ARP-ESSER III application and are in compliance with ARP Act Sec. 2001(e)(1) and 2001(e)(</w:t>
            </w:r>
            <w:proofErr w:type="gramStart"/>
            <w:r w:rsidRPr="006D7B27">
              <w:rPr>
                <w:sz w:val="18"/>
              </w:rPr>
              <w:t>2)(</w:t>
            </w:r>
            <w:proofErr w:type="gramEnd"/>
            <w:r w:rsidRPr="006D7B27">
              <w:rPr>
                <w:sz w:val="18"/>
              </w:rPr>
              <w:t>A-J).</w:t>
            </w:r>
          </w:p>
          <w:p w:rsidR="00B856B0" w:rsidRDefault="00B856B0" w:rsidP="00B856B0">
            <w:pPr>
              <w:spacing w:before="0" w:after="0"/>
              <w:rPr>
                <w:sz w:val="18"/>
              </w:rPr>
            </w:pPr>
          </w:p>
          <w:p w:rsidR="00824793" w:rsidRDefault="00B856B0" w:rsidP="00B53215">
            <w:pPr>
              <w:spacing w:before="0" w:after="0"/>
            </w:pPr>
            <w:r w:rsidRPr="006D7B27">
              <w:rPr>
                <w:sz w:val="18"/>
              </w:rPr>
              <w:t>All ESSER-funded activities must also be reasonable and allocable (necessary to respond to, prepare for, or prevent the spread of COVID- 19).</w:t>
            </w:r>
          </w:p>
        </w:tc>
        <w:tc>
          <w:tcPr>
            <w:tcW w:w="198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24793" w:rsidRDefault="00B856B0" w:rsidP="00722015">
            <w:pPr>
              <w:pStyle w:val="TableParagraph"/>
              <w:spacing w:before="0"/>
              <w:ind w:left="0"/>
              <w:rPr>
                <w:b/>
                <w:sz w:val="18"/>
              </w:rPr>
            </w:pPr>
            <w:r w:rsidRPr="00B02EC7">
              <w:rPr>
                <w:b/>
                <w:sz w:val="18"/>
                <w:szCs w:val="18"/>
              </w:rPr>
              <w:t>Demonstration of Compliance</w:t>
            </w:r>
          </w:p>
          <w:p w:rsidR="00953229" w:rsidRDefault="00953229" w:rsidP="0031441D">
            <w:pPr>
              <w:pStyle w:val="ListParagraph"/>
              <w:numPr>
                <w:ilvl w:val="0"/>
                <w:numId w:val="11"/>
              </w:numPr>
              <w:spacing w:after="0" w:line="240" w:lineRule="auto"/>
              <w:rPr>
                <w:sz w:val="18"/>
              </w:rPr>
            </w:pPr>
            <w:r>
              <w:rPr>
                <w:sz w:val="18"/>
              </w:rPr>
              <w:t>The LEA uploads a list of fund codes for each grant.</w:t>
            </w:r>
          </w:p>
          <w:p w:rsidR="00953229" w:rsidRDefault="00953229" w:rsidP="0031441D">
            <w:pPr>
              <w:pStyle w:val="ListParagraph"/>
              <w:numPr>
                <w:ilvl w:val="0"/>
                <w:numId w:val="11"/>
              </w:numPr>
              <w:spacing w:after="0" w:line="240" w:lineRule="auto"/>
              <w:rPr>
                <w:sz w:val="18"/>
              </w:rPr>
            </w:pPr>
            <w:r>
              <w:rPr>
                <w:sz w:val="18"/>
              </w:rPr>
              <w:t>The LEA uploads detailed expenditure reports using separate fund codes and CEF’s</w:t>
            </w:r>
            <w:r w:rsidR="00B32DEC">
              <w:rPr>
                <w:sz w:val="18"/>
              </w:rPr>
              <w:t xml:space="preserve"> for each grant</w:t>
            </w:r>
            <w:r>
              <w:rPr>
                <w:sz w:val="18"/>
              </w:rPr>
              <w:t xml:space="preserve">. </w:t>
            </w:r>
          </w:p>
          <w:p w:rsidR="00722015" w:rsidRPr="0034594A" w:rsidRDefault="00722015" w:rsidP="0031441D">
            <w:pPr>
              <w:pStyle w:val="ListParagraph"/>
              <w:numPr>
                <w:ilvl w:val="0"/>
                <w:numId w:val="11"/>
              </w:numPr>
              <w:spacing w:after="0" w:line="240" w:lineRule="auto"/>
              <w:rPr>
                <w:sz w:val="18"/>
              </w:rPr>
            </w:pPr>
            <w:r w:rsidRPr="0034594A">
              <w:rPr>
                <w:sz w:val="18"/>
              </w:rPr>
              <w:t xml:space="preserve">Funded activities must be reasonable, align with fair market values, </w:t>
            </w:r>
            <w:r w:rsidR="00F13D4B" w:rsidRPr="0034594A">
              <w:rPr>
                <w:sz w:val="18"/>
              </w:rPr>
              <w:t xml:space="preserve">considers geographical areas, and be cost effective. </w:t>
            </w:r>
          </w:p>
          <w:p w:rsidR="00722015" w:rsidRPr="00722015" w:rsidRDefault="00722015" w:rsidP="0031441D">
            <w:pPr>
              <w:pStyle w:val="ListParagraph"/>
              <w:numPr>
                <w:ilvl w:val="0"/>
                <w:numId w:val="11"/>
              </w:numPr>
              <w:spacing w:after="0" w:line="240" w:lineRule="auto"/>
              <w:rPr>
                <w:sz w:val="18"/>
              </w:rPr>
            </w:pPr>
            <w:r w:rsidRPr="00722015">
              <w:rPr>
                <w:sz w:val="18"/>
              </w:rPr>
              <w:t>Any equipment or real property must comply with UGG requirements and local procurement policies and/or purchasing guidelines on equipment or real property management.</w:t>
            </w:r>
          </w:p>
          <w:p w:rsidR="00722015" w:rsidRPr="00722015" w:rsidRDefault="00722015" w:rsidP="0031441D">
            <w:pPr>
              <w:pStyle w:val="ListParagraph"/>
              <w:numPr>
                <w:ilvl w:val="0"/>
                <w:numId w:val="11"/>
              </w:numPr>
              <w:spacing w:after="0" w:line="240" w:lineRule="auto"/>
              <w:rPr>
                <w:sz w:val="18"/>
              </w:rPr>
            </w:pPr>
            <w:r w:rsidRPr="00722015">
              <w:rPr>
                <w:sz w:val="18"/>
              </w:rPr>
              <w:t>Activities must be allocable, meaning that funded activities or items were made necessary as a result of the COVID-19 pandemic and were necessary in order for the LEA to respond to, prepare for, or prevent the spread of COVID-19.</w:t>
            </w:r>
          </w:p>
          <w:p w:rsidR="00722015" w:rsidRPr="00F13D4B" w:rsidRDefault="00722015" w:rsidP="0031441D">
            <w:pPr>
              <w:pStyle w:val="ListParagraph"/>
              <w:numPr>
                <w:ilvl w:val="0"/>
                <w:numId w:val="11"/>
              </w:numPr>
              <w:spacing w:after="0" w:line="240" w:lineRule="auto"/>
              <w:rPr>
                <w:sz w:val="18"/>
              </w:rPr>
            </w:pPr>
            <w:r w:rsidRPr="0034594A">
              <w:rPr>
                <w:sz w:val="18"/>
              </w:rPr>
              <w:t>ESSER-funded activities were obligated within the performance period (on or after March 13, 2020) and prior to September 30, 2022 for ESSER I, prior to September 30, 2023 for ESSER II, and prior to September 30, 2024 for ARP- ESSER III.</w:t>
            </w:r>
          </w:p>
        </w:tc>
        <w:tc>
          <w:tcPr>
            <w:tcW w:w="121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24793" w:rsidRDefault="00824793" w:rsidP="00B856B0"/>
        </w:tc>
      </w:tr>
    </w:tbl>
    <w:p w:rsidR="006B1BC0" w:rsidRDefault="006B1BC0" w:rsidP="006B1BC0">
      <w:r>
        <w:br w:type="page"/>
      </w:r>
    </w:p>
    <w:p w:rsidR="00B856B0" w:rsidRDefault="00B856B0" w:rsidP="00B856B0">
      <w:pPr>
        <w:keepNext/>
        <w:keepLines/>
        <w:spacing w:before="600" w:after="240" w:line="240" w:lineRule="auto"/>
        <w:outlineLvl w:val="0"/>
        <w:rPr>
          <w:b/>
          <w:bCs/>
          <w:caps/>
          <w:color w:val="112845" w:themeColor="text2" w:themeShade="BF"/>
          <w:sz w:val="40"/>
          <w:szCs w:val="40"/>
        </w:rPr>
      </w:pPr>
      <w:r>
        <w:rPr>
          <w:b/>
          <w:bCs/>
          <w:caps/>
          <w:color w:val="112845" w:themeColor="text2" w:themeShade="BF"/>
          <w:sz w:val="40"/>
          <w:szCs w:val="40"/>
        </w:rPr>
        <w:lastRenderedPageBreak/>
        <w:t>fiscal requirements (FR)</w:t>
      </w:r>
    </w:p>
    <w:p w:rsidR="00824793" w:rsidRPr="006B1BC0" w:rsidRDefault="00B856B0" w:rsidP="00032F5D">
      <w:pPr>
        <w:rPr>
          <w:rStyle w:val="IntenseEmphasis"/>
          <w:bCs/>
          <w:iCs w:val="0"/>
          <w:color w:val="112845" w:themeColor="text2" w:themeShade="BF"/>
          <w:sz w:val="32"/>
          <w:szCs w:val="32"/>
        </w:rPr>
      </w:pPr>
      <w:r>
        <w:rPr>
          <w:b/>
          <w:bCs/>
          <w:caps/>
          <w:color w:val="112845" w:themeColor="text2" w:themeShade="BF"/>
          <w:sz w:val="32"/>
          <w:szCs w:val="32"/>
        </w:rPr>
        <w:t>eQUITABLE SERVICES</w:t>
      </w:r>
      <w:r w:rsidR="00941F8B">
        <w:rPr>
          <w:b/>
          <w:bCs/>
          <w:caps/>
          <w:color w:val="112845" w:themeColor="text2" w:themeShade="BF"/>
          <w:sz w:val="32"/>
          <w:szCs w:val="32"/>
        </w:rPr>
        <w:t>- funds</w:t>
      </w:r>
    </w:p>
    <w:tbl>
      <w:tblPr>
        <w:tblStyle w:val="ProposalTable"/>
        <w:tblW w:w="5000" w:type="pct"/>
        <w:tblLook w:val="04A0" w:firstRow="1" w:lastRow="0" w:firstColumn="1" w:lastColumn="0" w:noHBand="0" w:noVBand="1"/>
      </w:tblPr>
      <w:tblGrid>
        <w:gridCol w:w="4675"/>
        <w:gridCol w:w="5131"/>
        <w:gridCol w:w="3144"/>
      </w:tblGrid>
      <w:tr w:rsidR="00824793" w:rsidRPr="00C75DC0" w:rsidTr="003727D0">
        <w:trPr>
          <w:cnfStyle w:val="100000000000" w:firstRow="1" w:lastRow="0" w:firstColumn="0" w:lastColumn="0" w:oddVBand="0" w:evenVBand="0" w:oddHBand="0" w:evenHBand="0" w:firstRowFirstColumn="0" w:firstRowLastColumn="0" w:lastRowFirstColumn="0" w:lastRowLastColumn="0"/>
          <w:tblHeader/>
        </w:trPr>
        <w:tc>
          <w:tcPr>
            <w:tcW w:w="1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856B0" w:rsidRDefault="00B856B0" w:rsidP="00B856B0">
            <w:pPr>
              <w:rPr>
                <w:rFonts w:eastAsia="Calibri" w:cs="Calibri"/>
                <w:b w:val="0"/>
                <w:bCs/>
                <w:sz w:val="22"/>
                <w:szCs w:val="22"/>
              </w:rPr>
            </w:pPr>
            <w:r w:rsidRPr="00B074A5">
              <w:rPr>
                <w:rFonts w:eastAsia="Calibri" w:cs="Calibri"/>
                <w:bCs/>
                <w:sz w:val="22"/>
                <w:szCs w:val="22"/>
              </w:rPr>
              <w:t>Citation</w:t>
            </w:r>
          </w:p>
          <w:p w:rsidR="00B856B0" w:rsidRDefault="00B856B0" w:rsidP="00B856B0">
            <w:pPr>
              <w:rPr>
                <w:rFonts w:eastAsia="Calibri" w:cs="Calibri"/>
                <w:b w:val="0"/>
                <w:bCs/>
                <w:sz w:val="22"/>
                <w:szCs w:val="22"/>
              </w:rPr>
            </w:pPr>
            <w:r w:rsidRPr="00C9380C">
              <w:rPr>
                <w:sz w:val="18"/>
                <w:lang w:eastAsia="en-US"/>
              </w:rPr>
              <w:t>ESSER I</w:t>
            </w:r>
          </w:p>
          <w:p w:rsidR="00824793" w:rsidRDefault="00B856B0" w:rsidP="00B856B0">
            <w:r w:rsidRPr="004D450F">
              <w:rPr>
                <w:sz w:val="18"/>
                <w:lang w:eastAsia="en-US"/>
              </w:rPr>
              <w:t>ESSER I</w:t>
            </w:r>
            <w:r>
              <w:rPr>
                <w:sz w:val="18"/>
                <w:lang w:eastAsia="en-US"/>
              </w:rPr>
              <w:t xml:space="preserve"> </w:t>
            </w:r>
            <w:r w:rsidRPr="004D450F">
              <w:rPr>
                <w:sz w:val="18"/>
                <w:lang w:eastAsia="en-US"/>
              </w:rPr>
              <w:t>18003(d)(1-12)</w:t>
            </w:r>
          </w:p>
        </w:tc>
        <w:tc>
          <w:tcPr>
            <w:tcW w:w="198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24793" w:rsidRPr="00C75DC0" w:rsidRDefault="00824793" w:rsidP="00D00C99">
            <w:pPr>
              <w:rPr>
                <w:sz w:val="22"/>
                <w:szCs w:val="22"/>
              </w:rPr>
            </w:pPr>
            <w:r w:rsidRPr="00C75DC0">
              <w:rPr>
                <w:sz w:val="22"/>
                <w:szCs w:val="22"/>
              </w:rPr>
              <w:t>Supporting Documents and Resources</w:t>
            </w:r>
          </w:p>
        </w:tc>
        <w:tc>
          <w:tcPr>
            <w:tcW w:w="121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24793" w:rsidRPr="00C75DC0" w:rsidRDefault="00824793" w:rsidP="00D00C99">
            <w:pPr>
              <w:rPr>
                <w:sz w:val="22"/>
                <w:szCs w:val="22"/>
              </w:rPr>
            </w:pPr>
            <w:r w:rsidRPr="00C75DC0">
              <w:rPr>
                <w:sz w:val="22"/>
                <w:szCs w:val="22"/>
              </w:rPr>
              <w:t>Comments</w:t>
            </w:r>
          </w:p>
        </w:tc>
      </w:tr>
      <w:tr w:rsidR="00824793" w:rsidTr="003727D0">
        <w:tc>
          <w:tcPr>
            <w:tcW w:w="1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856B0" w:rsidRPr="004D450F" w:rsidRDefault="00B856B0" w:rsidP="00B856B0">
            <w:pPr>
              <w:spacing w:line="276" w:lineRule="auto"/>
              <w:contextualSpacing/>
              <w:rPr>
                <w:sz w:val="18"/>
                <w:lang w:eastAsia="en-US"/>
              </w:rPr>
            </w:pPr>
            <w:r w:rsidRPr="004D450F">
              <w:rPr>
                <w:sz w:val="18"/>
                <w:lang w:eastAsia="en-US"/>
              </w:rPr>
              <w:t>ESSER I:</w:t>
            </w:r>
          </w:p>
          <w:p w:rsidR="00B856B0" w:rsidRPr="004D450F" w:rsidRDefault="00B856B0" w:rsidP="00B856B0">
            <w:pPr>
              <w:spacing w:line="276" w:lineRule="auto"/>
              <w:contextualSpacing/>
              <w:rPr>
                <w:sz w:val="18"/>
                <w:lang w:eastAsia="en-US"/>
              </w:rPr>
            </w:pPr>
            <w:r w:rsidRPr="004D450F">
              <w:rPr>
                <w:sz w:val="18"/>
                <w:lang w:eastAsia="en-US"/>
              </w:rPr>
              <w:t>All activities and expenditures align with those described in the approved ESSER I application according to CARES Act Sec. 18003(d)(1- 12).</w:t>
            </w:r>
          </w:p>
          <w:p w:rsidR="00824793" w:rsidRDefault="00824793" w:rsidP="00D00C99"/>
        </w:tc>
        <w:tc>
          <w:tcPr>
            <w:tcW w:w="198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856B0" w:rsidRPr="00C9380C" w:rsidRDefault="00B856B0" w:rsidP="00FA3763">
            <w:pPr>
              <w:pStyle w:val="TableParagraph"/>
              <w:spacing w:before="91"/>
              <w:ind w:left="0"/>
              <w:rPr>
                <w:b/>
                <w:sz w:val="18"/>
                <w:szCs w:val="18"/>
              </w:rPr>
            </w:pPr>
            <w:r w:rsidRPr="00C9380C">
              <w:rPr>
                <w:b/>
                <w:color w:val="3E3E3E"/>
                <w:sz w:val="18"/>
                <w:szCs w:val="18"/>
              </w:rPr>
              <w:t>Demonstration of Compliance</w:t>
            </w:r>
          </w:p>
          <w:p w:rsidR="00470189" w:rsidRPr="00470189" w:rsidRDefault="00470189" w:rsidP="00B53215">
            <w:pPr>
              <w:pStyle w:val="ListBullet"/>
              <w:spacing w:before="0" w:after="0"/>
              <w:rPr>
                <w:rFonts w:ascii="Arial" w:hAnsi="Arial" w:cs="Arial"/>
                <w:color w:val="auto"/>
                <w:sz w:val="18"/>
              </w:rPr>
            </w:pPr>
            <w:r w:rsidRPr="00470189">
              <w:rPr>
                <w:sz w:val="18"/>
              </w:rPr>
              <w:t>Control of funds:  Evidence the LEA maintains control of funds related to services, materials, and equipment expenditures on behalf of private school students and teacher. </w:t>
            </w:r>
          </w:p>
          <w:p w:rsidR="00470189" w:rsidRPr="00470189" w:rsidRDefault="00470189" w:rsidP="00B53215">
            <w:pPr>
              <w:pStyle w:val="ListBullet"/>
              <w:spacing w:before="0" w:after="0"/>
              <w:rPr>
                <w:rFonts w:ascii="Arial" w:hAnsi="Arial" w:cs="Arial"/>
                <w:sz w:val="18"/>
              </w:rPr>
            </w:pPr>
            <w:r w:rsidRPr="00470189">
              <w:rPr>
                <w:sz w:val="18"/>
              </w:rPr>
              <w:t xml:space="preserve">LEA </w:t>
            </w:r>
            <w:r w:rsidR="00953229">
              <w:rPr>
                <w:sz w:val="18"/>
              </w:rPr>
              <w:t xml:space="preserve">provides </w:t>
            </w:r>
            <w:r w:rsidRPr="00470189">
              <w:rPr>
                <w:sz w:val="18"/>
              </w:rPr>
              <w:t>inventory for each private school which includes all items purchased for use by the private school and the location of the items. </w:t>
            </w:r>
          </w:p>
          <w:p w:rsidR="00470189" w:rsidRPr="00470189" w:rsidRDefault="00470189" w:rsidP="00B53215">
            <w:pPr>
              <w:pStyle w:val="ListBullet"/>
              <w:spacing w:before="0" w:after="0"/>
              <w:rPr>
                <w:sz w:val="18"/>
                <w:lang w:eastAsia="en-US"/>
              </w:rPr>
            </w:pPr>
            <w:r w:rsidRPr="00470189">
              <w:rPr>
                <w:sz w:val="18"/>
              </w:rPr>
              <w:t>Evidence of communication with private schools regarding the return or use of equipment after the grant period ends.  </w:t>
            </w:r>
          </w:p>
          <w:p w:rsidR="00F13D4B" w:rsidRPr="00F13D4B" w:rsidRDefault="0034594A" w:rsidP="00B53215">
            <w:pPr>
              <w:pStyle w:val="ListBullet"/>
              <w:spacing w:before="0" w:after="0"/>
              <w:rPr>
                <w:lang w:eastAsia="en-US"/>
              </w:rPr>
            </w:pPr>
            <w:r w:rsidRPr="00470189">
              <w:rPr>
                <w:sz w:val="18"/>
                <w:lang w:eastAsia="en-US"/>
              </w:rPr>
              <w:t>LEA provide a statement if equitable services does not apply</w:t>
            </w:r>
            <w:r w:rsidR="00333E67" w:rsidRPr="00470189">
              <w:rPr>
                <w:sz w:val="18"/>
                <w:lang w:eastAsia="en-US"/>
              </w:rPr>
              <w:t xml:space="preserve"> to LEA</w:t>
            </w:r>
            <w:r w:rsidRPr="00470189">
              <w:rPr>
                <w:sz w:val="18"/>
                <w:lang w:eastAsia="en-US"/>
              </w:rPr>
              <w:t>.</w:t>
            </w:r>
            <w:r w:rsidRPr="0034594A">
              <w:rPr>
                <w:lang w:eastAsia="en-US"/>
              </w:rPr>
              <w:t xml:space="preserve"> </w:t>
            </w:r>
          </w:p>
        </w:tc>
        <w:tc>
          <w:tcPr>
            <w:tcW w:w="121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24793" w:rsidRDefault="00824793" w:rsidP="00D00C99"/>
        </w:tc>
      </w:tr>
    </w:tbl>
    <w:p w:rsidR="00F33DCC" w:rsidRDefault="00F33DCC" w:rsidP="00032F5D">
      <w:pPr>
        <w:rPr>
          <w:b/>
          <w:color w:val="002060"/>
          <w:sz w:val="32"/>
          <w:szCs w:val="32"/>
        </w:rPr>
      </w:pPr>
    </w:p>
    <w:p w:rsidR="00F33DCC" w:rsidRDefault="00F33DCC" w:rsidP="00F33DCC">
      <w:r>
        <w:br w:type="page"/>
      </w:r>
    </w:p>
    <w:p w:rsidR="00824793" w:rsidRPr="00B856B0" w:rsidRDefault="00B856B0" w:rsidP="00032F5D">
      <w:pPr>
        <w:rPr>
          <w:rStyle w:val="IntenseEmphasis"/>
          <w:bCs/>
          <w:iCs w:val="0"/>
          <w:color w:val="002060"/>
          <w:sz w:val="32"/>
          <w:szCs w:val="32"/>
        </w:rPr>
      </w:pPr>
      <w:r w:rsidRPr="004C6BE6">
        <w:rPr>
          <w:b/>
          <w:color w:val="002060"/>
          <w:sz w:val="32"/>
          <w:szCs w:val="32"/>
        </w:rPr>
        <w:lastRenderedPageBreak/>
        <w:t>PROPERTY AND EQUIPMENT</w:t>
      </w:r>
      <w:r w:rsidR="00F13D4B">
        <w:rPr>
          <w:b/>
          <w:color w:val="002060"/>
          <w:sz w:val="32"/>
          <w:szCs w:val="32"/>
        </w:rPr>
        <w:t>-</w:t>
      </w:r>
      <w:r w:rsidR="00F13D4B" w:rsidRPr="0034594A">
        <w:rPr>
          <w:b/>
          <w:color w:val="002060"/>
          <w:sz w:val="32"/>
          <w:szCs w:val="32"/>
        </w:rPr>
        <w:t>INVENTORY</w:t>
      </w:r>
    </w:p>
    <w:tbl>
      <w:tblPr>
        <w:tblStyle w:val="ProposalTable"/>
        <w:tblW w:w="5000" w:type="pct"/>
        <w:tblLook w:val="04A0" w:firstRow="1" w:lastRow="0" w:firstColumn="1" w:lastColumn="0" w:noHBand="0" w:noVBand="1"/>
      </w:tblPr>
      <w:tblGrid>
        <w:gridCol w:w="4675"/>
        <w:gridCol w:w="5131"/>
        <w:gridCol w:w="3144"/>
      </w:tblGrid>
      <w:tr w:rsidR="00824793" w:rsidRPr="00C75DC0" w:rsidTr="003727D0">
        <w:trPr>
          <w:cnfStyle w:val="100000000000" w:firstRow="1" w:lastRow="0" w:firstColumn="0" w:lastColumn="0" w:oddVBand="0" w:evenVBand="0" w:oddHBand="0" w:evenHBand="0" w:firstRowFirstColumn="0" w:firstRowLastColumn="0" w:lastRowFirstColumn="0" w:lastRowLastColumn="0"/>
          <w:tblHeader/>
        </w:trPr>
        <w:tc>
          <w:tcPr>
            <w:tcW w:w="1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24793" w:rsidRDefault="00B856B0" w:rsidP="00D00C99">
            <w:bookmarkStart w:id="4" w:name="_Toc485030149"/>
            <w:bookmarkStart w:id="5" w:name="_Toc485030150"/>
            <w:bookmarkStart w:id="6" w:name="_Toc485030151"/>
            <w:bookmarkEnd w:id="4"/>
            <w:bookmarkEnd w:id="5"/>
            <w:bookmarkEnd w:id="6"/>
            <w:r w:rsidRPr="00B074A5">
              <w:rPr>
                <w:sz w:val="22"/>
                <w:szCs w:val="22"/>
              </w:rPr>
              <w:t>Citation</w:t>
            </w:r>
          </w:p>
        </w:tc>
        <w:tc>
          <w:tcPr>
            <w:tcW w:w="198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24793" w:rsidRPr="00C75DC0" w:rsidRDefault="00824793" w:rsidP="00D00C99">
            <w:pPr>
              <w:rPr>
                <w:sz w:val="22"/>
                <w:szCs w:val="22"/>
              </w:rPr>
            </w:pPr>
            <w:r w:rsidRPr="00C75DC0">
              <w:rPr>
                <w:sz w:val="22"/>
                <w:szCs w:val="22"/>
              </w:rPr>
              <w:t>Supporting Documents and Resources</w:t>
            </w:r>
          </w:p>
        </w:tc>
        <w:tc>
          <w:tcPr>
            <w:tcW w:w="121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24793" w:rsidRPr="00C75DC0" w:rsidRDefault="00824793" w:rsidP="00D00C99">
            <w:pPr>
              <w:rPr>
                <w:sz w:val="22"/>
                <w:szCs w:val="22"/>
              </w:rPr>
            </w:pPr>
            <w:r w:rsidRPr="00C75DC0">
              <w:rPr>
                <w:sz w:val="22"/>
                <w:szCs w:val="22"/>
              </w:rPr>
              <w:t>Comments</w:t>
            </w:r>
          </w:p>
        </w:tc>
      </w:tr>
      <w:tr w:rsidR="00824793" w:rsidTr="003727D0">
        <w:tc>
          <w:tcPr>
            <w:tcW w:w="1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24793" w:rsidRPr="00B856B0" w:rsidRDefault="00B856B0" w:rsidP="00D00C99">
            <w:pPr>
              <w:rPr>
                <w:rFonts w:cs="Calibri"/>
                <w:bCs/>
                <w:sz w:val="18"/>
              </w:rPr>
            </w:pPr>
            <w:r w:rsidRPr="009D3739">
              <w:rPr>
                <w:rFonts w:cs="Calibri"/>
                <w:bCs/>
                <w:sz w:val="18"/>
              </w:rPr>
              <w:t>The LEA utilizes an inventory and tracking system for supplies and equipment purchased with Federal funds that aligns with written policy and/or procedures and meets the following requirements to safeguard all assets. This would include the allowance of technology items to be checked out/loaned to students and staff.</w:t>
            </w:r>
          </w:p>
        </w:tc>
        <w:tc>
          <w:tcPr>
            <w:tcW w:w="198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856B0" w:rsidRPr="00247B26" w:rsidRDefault="00B856B0" w:rsidP="00FA3763">
            <w:pPr>
              <w:pStyle w:val="TableParagraph"/>
              <w:spacing w:before="71"/>
              <w:ind w:left="0"/>
              <w:rPr>
                <w:b/>
                <w:sz w:val="18"/>
                <w:szCs w:val="18"/>
              </w:rPr>
            </w:pPr>
            <w:r w:rsidRPr="00247B26">
              <w:rPr>
                <w:b/>
                <w:sz w:val="18"/>
                <w:szCs w:val="18"/>
              </w:rPr>
              <w:t>Demonstration of Compliance</w:t>
            </w:r>
          </w:p>
          <w:p w:rsidR="00FA3763" w:rsidRPr="00FA3763" w:rsidRDefault="00FA3763" w:rsidP="0031441D">
            <w:pPr>
              <w:pStyle w:val="ListParagraph"/>
              <w:numPr>
                <w:ilvl w:val="0"/>
                <w:numId w:val="15"/>
              </w:numPr>
              <w:spacing w:after="0" w:line="240" w:lineRule="auto"/>
              <w:rPr>
                <w:rFonts w:cs="Calibri"/>
                <w:sz w:val="18"/>
              </w:rPr>
            </w:pPr>
            <w:r w:rsidRPr="00FA3763">
              <w:rPr>
                <w:rFonts w:cs="Calibri"/>
                <w:sz w:val="18"/>
              </w:rPr>
              <w:t>Documented physical inventory reports and status (same as ESEA)</w:t>
            </w:r>
            <w:r w:rsidR="00953229">
              <w:rPr>
                <w:rFonts w:cs="Calibri"/>
                <w:sz w:val="18"/>
              </w:rPr>
              <w:t xml:space="preserve"> for items purchased with ESSER funds (laptops, technology, etc.)</w:t>
            </w:r>
          </w:p>
          <w:p w:rsidR="00FA3763" w:rsidRPr="00FA3763" w:rsidRDefault="00FA3763" w:rsidP="0031441D">
            <w:pPr>
              <w:pStyle w:val="ListParagraph"/>
              <w:numPr>
                <w:ilvl w:val="0"/>
                <w:numId w:val="15"/>
              </w:numPr>
              <w:spacing w:after="0" w:line="240" w:lineRule="auto"/>
              <w:rPr>
                <w:rFonts w:cs="Calibri"/>
                <w:sz w:val="18"/>
              </w:rPr>
            </w:pPr>
            <w:r w:rsidRPr="00FA3763">
              <w:rPr>
                <w:rFonts w:cs="Calibri"/>
                <w:sz w:val="18"/>
              </w:rPr>
              <w:t>LEA’s written inventory</w:t>
            </w:r>
            <w:r w:rsidR="006A5ECD">
              <w:rPr>
                <w:rFonts w:cs="Calibri"/>
                <w:sz w:val="18"/>
              </w:rPr>
              <w:t xml:space="preserve"> policies or</w:t>
            </w:r>
            <w:r w:rsidRPr="00FA3763">
              <w:rPr>
                <w:rFonts w:cs="Calibri"/>
                <w:sz w:val="18"/>
              </w:rPr>
              <w:t xml:space="preserve"> procedures must include the following: process performed when inventory is received; process describing what type of property is tagged and what position/office performs the tagging; process to adjust the inventory records in the event the property is sold, lost, or stolen, or cannot be repaired.</w:t>
            </w:r>
          </w:p>
          <w:p w:rsidR="00D15719" w:rsidRPr="00B32DEC" w:rsidRDefault="00FA3763" w:rsidP="00B32DEC">
            <w:pPr>
              <w:pStyle w:val="ListParagraph"/>
              <w:numPr>
                <w:ilvl w:val="0"/>
                <w:numId w:val="15"/>
              </w:numPr>
              <w:spacing w:after="120" w:line="240" w:lineRule="auto"/>
              <w:rPr>
                <w:sz w:val="22"/>
              </w:rPr>
            </w:pPr>
            <w:bookmarkStart w:id="7" w:name="_Hlk112936591"/>
            <w:r w:rsidRPr="00B32DEC">
              <w:rPr>
                <w:rFonts w:cs="Calibri"/>
                <w:sz w:val="18"/>
              </w:rPr>
              <w:t>Inventory Records should include at a minimum: Serial number or other identification number; Source of funding for the property, including FAIN# (Federal Award Identification Number); and CFDA#; Title owner/holder; Acquisition date; Acquisition cost; Percentage of cost related to Federal participation for the program under which the property was acquired (when not fully funded with federal funds); Location of equipment; Any ultimate disposition data including the date of disposal and sale price of the property, federal release of title/approval to dispose.</w:t>
            </w:r>
            <w:bookmarkEnd w:id="7"/>
            <w:r w:rsidR="00D15719" w:rsidRPr="00B32DEC">
              <w:rPr>
                <w:rFonts w:cs="Calibri"/>
                <w:sz w:val="18"/>
              </w:rPr>
              <w:t xml:space="preserve"> LEAs may use this inventory template: </w:t>
            </w:r>
            <w:hyperlink r:id="rId11" w:history="1">
              <w:r w:rsidR="00D15719" w:rsidRPr="00B32DEC">
                <w:rPr>
                  <w:rStyle w:val="Hyperlink"/>
                  <w:sz w:val="18"/>
                </w:rPr>
                <w:t>https://www.sde.idaho.gov/federal-programs/program-monitoring/files/general/Inventory-Template.xlsx</w:t>
              </w:r>
            </w:hyperlink>
          </w:p>
          <w:p w:rsidR="00E76942" w:rsidRPr="00D15719" w:rsidRDefault="00E76942" w:rsidP="00D15719">
            <w:pPr>
              <w:pStyle w:val="ListParagraph"/>
              <w:numPr>
                <w:ilvl w:val="0"/>
                <w:numId w:val="0"/>
              </w:numPr>
              <w:spacing w:after="0" w:line="240" w:lineRule="auto"/>
              <w:ind w:left="360"/>
              <w:rPr>
                <w:rFonts w:cs="Calibri"/>
                <w:sz w:val="18"/>
              </w:rPr>
            </w:pPr>
          </w:p>
        </w:tc>
        <w:tc>
          <w:tcPr>
            <w:tcW w:w="121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24793" w:rsidRDefault="00824793" w:rsidP="00D00C99"/>
        </w:tc>
      </w:tr>
    </w:tbl>
    <w:p w:rsidR="00032F5D" w:rsidRPr="00B856B0" w:rsidRDefault="00B856B0" w:rsidP="00B856B0">
      <w:pPr>
        <w:pStyle w:val="Heading1"/>
        <w:rPr>
          <w:szCs w:val="32"/>
        </w:rPr>
      </w:pPr>
      <w:r w:rsidRPr="00D64D35">
        <w:rPr>
          <w:szCs w:val="32"/>
        </w:rPr>
        <w:lastRenderedPageBreak/>
        <w:t>financial management system</w:t>
      </w:r>
    </w:p>
    <w:tbl>
      <w:tblPr>
        <w:tblStyle w:val="ProposalTable"/>
        <w:tblW w:w="5000" w:type="pct"/>
        <w:tblLook w:val="04A0" w:firstRow="1" w:lastRow="0" w:firstColumn="1" w:lastColumn="0" w:noHBand="0" w:noVBand="1"/>
      </w:tblPr>
      <w:tblGrid>
        <w:gridCol w:w="4766"/>
        <w:gridCol w:w="5040"/>
        <w:gridCol w:w="3144"/>
      </w:tblGrid>
      <w:tr w:rsidR="00824793" w:rsidRPr="00C75DC0" w:rsidTr="003727D0">
        <w:trPr>
          <w:cnfStyle w:val="100000000000" w:firstRow="1" w:lastRow="0" w:firstColumn="0" w:lastColumn="0" w:oddVBand="0" w:evenVBand="0" w:oddHBand="0" w:evenHBand="0" w:firstRowFirstColumn="0" w:firstRowLastColumn="0" w:lastRowFirstColumn="0" w:lastRowLastColumn="0"/>
          <w:tblHeader/>
        </w:trPr>
        <w:tc>
          <w:tcPr>
            <w:tcW w:w="184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856B0" w:rsidRDefault="00B856B0" w:rsidP="00B856B0">
            <w:pPr>
              <w:rPr>
                <w:b w:val="0"/>
                <w:sz w:val="22"/>
                <w:szCs w:val="22"/>
              </w:rPr>
            </w:pPr>
            <w:r w:rsidRPr="00B074A5">
              <w:rPr>
                <w:sz w:val="22"/>
                <w:szCs w:val="22"/>
              </w:rPr>
              <w:t>Citation</w:t>
            </w:r>
          </w:p>
          <w:p w:rsidR="00B856B0" w:rsidRPr="00800A2B" w:rsidRDefault="00B856B0" w:rsidP="00B856B0">
            <w:pPr>
              <w:rPr>
                <w:rFonts w:cs="Calibri"/>
                <w:bCs/>
                <w:sz w:val="18"/>
              </w:rPr>
            </w:pPr>
            <w:r w:rsidRPr="00800A2B">
              <w:rPr>
                <w:rFonts w:cs="Calibri"/>
                <w:bCs/>
                <w:sz w:val="18"/>
              </w:rPr>
              <w:t>[2 C.F.R. 200.302(b)(1-7); EDGAR 34 C.F.R. 76.702], Title I Part A</w:t>
            </w:r>
          </w:p>
          <w:p w:rsidR="00824793" w:rsidRDefault="00B856B0" w:rsidP="00B856B0">
            <w:r w:rsidRPr="00800A2B">
              <w:rPr>
                <w:rFonts w:cs="Calibri"/>
                <w:bCs/>
                <w:sz w:val="18"/>
              </w:rPr>
              <w:t>Assurances: 8306(a)(2)(A-B)</w:t>
            </w:r>
          </w:p>
        </w:tc>
        <w:tc>
          <w:tcPr>
            <w:tcW w:w="19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24793" w:rsidRPr="00C75DC0" w:rsidRDefault="00824793" w:rsidP="00D00C99">
            <w:pPr>
              <w:rPr>
                <w:sz w:val="22"/>
                <w:szCs w:val="22"/>
              </w:rPr>
            </w:pPr>
            <w:r w:rsidRPr="00C75DC0">
              <w:rPr>
                <w:sz w:val="22"/>
                <w:szCs w:val="22"/>
              </w:rPr>
              <w:t>Supporting Documents and Resources</w:t>
            </w:r>
          </w:p>
        </w:tc>
        <w:tc>
          <w:tcPr>
            <w:tcW w:w="121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24793" w:rsidRPr="00C75DC0" w:rsidRDefault="00824793" w:rsidP="00D00C99">
            <w:pPr>
              <w:rPr>
                <w:sz w:val="22"/>
                <w:szCs w:val="22"/>
              </w:rPr>
            </w:pPr>
            <w:r w:rsidRPr="00C75DC0">
              <w:rPr>
                <w:sz w:val="22"/>
                <w:szCs w:val="22"/>
              </w:rPr>
              <w:t>Comments</w:t>
            </w:r>
          </w:p>
        </w:tc>
      </w:tr>
      <w:tr w:rsidR="00824793" w:rsidTr="003727D0">
        <w:tc>
          <w:tcPr>
            <w:tcW w:w="184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24793" w:rsidRPr="00B856B0" w:rsidRDefault="00B856B0" w:rsidP="00D00C99">
            <w:pPr>
              <w:rPr>
                <w:rFonts w:cs="Calibri"/>
                <w:bCs/>
                <w:sz w:val="18"/>
              </w:rPr>
            </w:pPr>
            <w:r w:rsidRPr="00800A2B">
              <w:rPr>
                <w:rFonts w:cs="Calibri"/>
                <w:bCs/>
                <w:sz w:val="18"/>
              </w:rPr>
              <w:t>LEAs must expend and account for Federal funds in accordance with Federal and State laws and procedures for expending and accounting for these funds. LEA’s accounting systems must satisfy Federal and State requirements regarding the ability to track the use of funds and permit the disclosure of financial results. LEAs must follow written procedures for determining cost allowability and must have effective control over all funds.</w:t>
            </w:r>
          </w:p>
        </w:tc>
        <w:tc>
          <w:tcPr>
            <w:tcW w:w="19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856B0" w:rsidRPr="00247B26" w:rsidRDefault="00B856B0" w:rsidP="00B856B0">
            <w:pPr>
              <w:pStyle w:val="TableParagraph"/>
              <w:spacing w:before="0"/>
              <w:ind w:left="288" w:hanging="360"/>
              <w:rPr>
                <w:b/>
                <w:sz w:val="18"/>
                <w:szCs w:val="18"/>
              </w:rPr>
            </w:pPr>
            <w:r w:rsidRPr="00247B26">
              <w:rPr>
                <w:b/>
                <w:sz w:val="18"/>
                <w:szCs w:val="18"/>
              </w:rPr>
              <w:t>Demonstration of Compliance</w:t>
            </w:r>
          </w:p>
          <w:p w:rsidR="00FA3763" w:rsidRDefault="00FA3763" w:rsidP="00B53215">
            <w:pPr>
              <w:pStyle w:val="TableParagraph"/>
              <w:numPr>
                <w:ilvl w:val="0"/>
                <w:numId w:val="16"/>
              </w:numPr>
              <w:tabs>
                <w:tab w:val="left" w:pos="819"/>
              </w:tabs>
              <w:spacing w:before="0"/>
              <w:rPr>
                <w:sz w:val="18"/>
                <w:szCs w:val="18"/>
              </w:rPr>
            </w:pPr>
            <w:r w:rsidRPr="00FA3763">
              <w:rPr>
                <w:sz w:val="18"/>
                <w:szCs w:val="18"/>
              </w:rPr>
              <w:t>Awards are received and expended under the programs for which they</w:t>
            </w:r>
            <w:r w:rsidR="00122C74">
              <w:rPr>
                <w:sz w:val="18"/>
                <w:szCs w:val="18"/>
              </w:rPr>
              <w:t xml:space="preserve"> </w:t>
            </w:r>
            <w:r w:rsidRPr="00FA3763">
              <w:rPr>
                <w:sz w:val="18"/>
                <w:szCs w:val="18"/>
              </w:rPr>
              <w:t>were receive</w:t>
            </w:r>
            <w:r w:rsidR="002940F6">
              <w:rPr>
                <w:sz w:val="18"/>
                <w:szCs w:val="18"/>
              </w:rPr>
              <w:t>d.</w:t>
            </w:r>
          </w:p>
          <w:p w:rsidR="002940F6" w:rsidRPr="0034594A" w:rsidRDefault="002940F6" w:rsidP="00B53215">
            <w:pPr>
              <w:pStyle w:val="TableParagraph"/>
              <w:numPr>
                <w:ilvl w:val="0"/>
                <w:numId w:val="16"/>
              </w:numPr>
              <w:tabs>
                <w:tab w:val="left" w:pos="819"/>
              </w:tabs>
              <w:spacing w:before="0"/>
              <w:rPr>
                <w:sz w:val="18"/>
                <w:szCs w:val="18"/>
              </w:rPr>
            </w:pPr>
            <w:r w:rsidRPr="0034594A">
              <w:rPr>
                <w:sz w:val="18"/>
                <w:szCs w:val="18"/>
              </w:rPr>
              <w:t xml:space="preserve">ESSER funds need to be tracked separately using separate fund codes. </w:t>
            </w:r>
          </w:p>
          <w:p w:rsidR="00FA3763" w:rsidRPr="00FA3763" w:rsidRDefault="00FA3763" w:rsidP="00B53215">
            <w:pPr>
              <w:pStyle w:val="TableParagraph"/>
              <w:numPr>
                <w:ilvl w:val="0"/>
                <w:numId w:val="16"/>
              </w:numPr>
              <w:tabs>
                <w:tab w:val="left" w:pos="819"/>
              </w:tabs>
              <w:spacing w:before="0"/>
              <w:rPr>
                <w:sz w:val="18"/>
                <w:szCs w:val="18"/>
              </w:rPr>
            </w:pPr>
            <w:r w:rsidRPr="00FA3763">
              <w:rPr>
                <w:sz w:val="18"/>
                <w:szCs w:val="18"/>
              </w:rPr>
              <w:t>Accurate, current, and complete disclosure of the financial results of each award.</w:t>
            </w:r>
          </w:p>
          <w:p w:rsidR="00FA3763" w:rsidRPr="00FA3763" w:rsidRDefault="00FA3763" w:rsidP="00B53215">
            <w:pPr>
              <w:pStyle w:val="TableParagraph"/>
              <w:numPr>
                <w:ilvl w:val="0"/>
                <w:numId w:val="16"/>
              </w:numPr>
              <w:tabs>
                <w:tab w:val="left" w:pos="819"/>
              </w:tabs>
              <w:spacing w:before="0"/>
              <w:rPr>
                <w:sz w:val="18"/>
                <w:szCs w:val="18"/>
              </w:rPr>
            </w:pPr>
            <w:r w:rsidRPr="00FA3763">
              <w:rPr>
                <w:sz w:val="18"/>
                <w:szCs w:val="18"/>
              </w:rPr>
              <w:t>Written procedures to implement payments.</w:t>
            </w:r>
          </w:p>
          <w:p w:rsidR="00824793" w:rsidRPr="00953229" w:rsidRDefault="00FA3763" w:rsidP="00B53215">
            <w:pPr>
              <w:pStyle w:val="TableParagraph"/>
              <w:numPr>
                <w:ilvl w:val="0"/>
                <w:numId w:val="16"/>
              </w:numPr>
              <w:tabs>
                <w:tab w:val="left" w:pos="819"/>
              </w:tabs>
              <w:spacing w:before="0"/>
            </w:pPr>
            <w:r w:rsidRPr="00FA3763">
              <w:rPr>
                <w:sz w:val="18"/>
                <w:szCs w:val="18"/>
              </w:rPr>
              <w:t>Written procedures to determine allowability of costs.</w:t>
            </w:r>
          </w:p>
          <w:p w:rsidR="00953229" w:rsidRPr="00374E45" w:rsidRDefault="00953229" w:rsidP="00B53215">
            <w:pPr>
              <w:pStyle w:val="TableParagraph"/>
              <w:numPr>
                <w:ilvl w:val="1"/>
                <w:numId w:val="16"/>
              </w:numPr>
              <w:tabs>
                <w:tab w:val="left" w:pos="1180"/>
              </w:tabs>
              <w:spacing w:before="0"/>
              <w:ind w:left="792"/>
              <w:rPr>
                <w:color w:val="5C5C5C" w:themeColor="text1" w:themeTint="BF"/>
                <w:sz w:val="18"/>
                <w:szCs w:val="18"/>
                <w:lang w:eastAsia="ja-JP"/>
              </w:rPr>
            </w:pPr>
            <w:r w:rsidRPr="00374E45">
              <w:rPr>
                <w:color w:val="5C5C5C" w:themeColor="text1" w:themeTint="BF"/>
                <w:sz w:val="18"/>
                <w:szCs w:val="18"/>
                <w:lang w:eastAsia="ja-JP"/>
              </w:rPr>
              <w:t>Financial Management System (levels of approval, handbook, grant approval process, internal procedures, evidence federal funds are tracked separately from other funds, board policies, budget to actual reporting, separation of</w:t>
            </w:r>
            <w:r w:rsidRPr="00374E45">
              <w:rPr>
                <w:color w:val="5C5C5C" w:themeColor="text1" w:themeTint="BF"/>
                <w:spacing w:val="-4"/>
                <w:sz w:val="18"/>
                <w:szCs w:val="18"/>
                <w:lang w:eastAsia="ja-JP"/>
              </w:rPr>
              <w:t xml:space="preserve"> </w:t>
            </w:r>
            <w:r w:rsidRPr="00374E45">
              <w:rPr>
                <w:color w:val="5C5C5C" w:themeColor="text1" w:themeTint="BF"/>
                <w:sz w:val="18"/>
                <w:szCs w:val="18"/>
                <w:lang w:eastAsia="ja-JP"/>
              </w:rPr>
              <w:t>duties)</w:t>
            </w:r>
          </w:p>
          <w:p w:rsidR="00953229" w:rsidRDefault="00953229" w:rsidP="00B53215">
            <w:pPr>
              <w:pStyle w:val="TableParagraph"/>
              <w:numPr>
                <w:ilvl w:val="1"/>
                <w:numId w:val="16"/>
              </w:numPr>
              <w:tabs>
                <w:tab w:val="left" w:pos="1179"/>
              </w:tabs>
              <w:spacing w:before="0"/>
              <w:ind w:left="792"/>
            </w:pPr>
            <w:r w:rsidRPr="00374E45">
              <w:rPr>
                <w:color w:val="5C5C5C" w:themeColor="text1" w:themeTint="BF"/>
                <w:sz w:val="18"/>
                <w:szCs w:val="18"/>
                <w:lang w:eastAsia="ja-JP"/>
              </w:rPr>
              <w:t>Cash Management System (policy/procedure to ensure CMA is</w:t>
            </w:r>
            <w:r w:rsidRPr="00374E45">
              <w:rPr>
                <w:color w:val="5C5C5C" w:themeColor="text1" w:themeTint="BF"/>
                <w:spacing w:val="-30"/>
                <w:sz w:val="18"/>
                <w:szCs w:val="18"/>
                <w:lang w:eastAsia="ja-JP"/>
              </w:rPr>
              <w:t xml:space="preserve"> </w:t>
            </w:r>
            <w:r w:rsidRPr="00374E45">
              <w:rPr>
                <w:color w:val="5C5C5C" w:themeColor="text1" w:themeTint="BF"/>
                <w:sz w:val="18"/>
                <w:szCs w:val="18"/>
                <w:lang w:eastAsia="ja-JP"/>
              </w:rPr>
              <w:t>adhered to, district does not draw down funds in advance of expenditure for federal</w:t>
            </w:r>
            <w:r w:rsidRPr="00374E45">
              <w:rPr>
                <w:color w:val="5C5C5C" w:themeColor="text1" w:themeTint="BF"/>
                <w:spacing w:val="-2"/>
                <w:sz w:val="18"/>
                <w:szCs w:val="18"/>
                <w:lang w:eastAsia="ja-JP"/>
              </w:rPr>
              <w:t xml:space="preserve"> </w:t>
            </w:r>
            <w:r w:rsidRPr="00374E45">
              <w:rPr>
                <w:color w:val="5C5C5C" w:themeColor="text1" w:themeTint="BF"/>
                <w:sz w:val="18"/>
                <w:szCs w:val="18"/>
                <w:lang w:eastAsia="ja-JP"/>
              </w:rPr>
              <w:t>funds)</w:t>
            </w:r>
          </w:p>
        </w:tc>
        <w:tc>
          <w:tcPr>
            <w:tcW w:w="121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24793" w:rsidRDefault="00824793" w:rsidP="00D00C99"/>
        </w:tc>
      </w:tr>
    </w:tbl>
    <w:p w:rsidR="00B53215" w:rsidRDefault="00B53215" w:rsidP="00032F5D">
      <w:pPr>
        <w:rPr>
          <w:b/>
          <w:bCs/>
          <w:caps/>
          <w:color w:val="112845" w:themeColor="text2" w:themeShade="BF"/>
          <w:sz w:val="32"/>
          <w:szCs w:val="32"/>
        </w:rPr>
      </w:pPr>
    </w:p>
    <w:p w:rsidR="00824793" w:rsidRPr="00B856B0" w:rsidRDefault="00B856B0" w:rsidP="00032F5D">
      <w:pPr>
        <w:rPr>
          <w:b/>
          <w:bCs/>
          <w:caps/>
          <w:color w:val="112845" w:themeColor="text2" w:themeShade="BF"/>
          <w:sz w:val="32"/>
          <w:szCs w:val="32"/>
        </w:rPr>
      </w:pPr>
      <w:r w:rsidRPr="00D64D35">
        <w:rPr>
          <w:b/>
          <w:bCs/>
          <w:caps/>
          <w:color w:val="112845" w:themeColor="text2" w:themeShade="BF"/>
          <w:sz w:val="32"/>
          <w:szCs w:val="32"/>
        </w:rPr>
        <w:t>time and effort</w:t>
      </w:r>
    </w:p>
    <w:tbl>
      <w:tblPr>
        <w:tblStyle w:val="ProposalTable"/>
        <w:tblW w:w="5000" w:type="pct"/>
        <w:tblLook w:val="04A0" w:firstRow="1" w:lastRow="0" w:firstColumn="1" w:lastColumn="0" w:noHBand="0" w:noVBand="1"/>
      </w:tblPr>
      <w:tblGrid>
        <w:gridCol w:w="5789"/>
        <w:gridCol w:w="4017"/>
        <w:gridCol w:w="3144"/>
      </w:tblGrid>
      <w:tr w:rsidR="00824793" w:rsidRPr="00C75DC0" w:rsidTr="00D00C99">
        <w:trPr>
          <w:cnfStyle w:val="100000000000" w:firstRow="1" w:lastRow="0" w:firstColumn="0" w:lastColumn="0" w:oddVBand="0" w:evenVBand="0" w:oddHBand="0" w:evenHBand="0" w:firstRowFirstColumn="0" w:firstRowLastColumn="0" w:lastRowFirstColumn="0" w:lastRowLastColumn="0"/>
          <w:tblHeader/>
        </w:trPr>
        <w:tc>
          <w:tcPr>
            <w:tcW w:w="223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856B0" w:rsidRDefault="00B856B0" w:rsidP="00B856B0">
            <w:pPr>
              <w:keepNext w:val="0"/>
              <w:spacing w:before="0" w:after="180" w:line="288" w:lineRule="auto"/>
              <w:rPr>
                <w:b w:val="0"/>
                <w:sz w:val="22"/>
                <w:szCs w:val="22"/>
              </w:rPr>
            </w:pPr>
            <w:r w:rsidRPr="00B074A5">
              <w:rPr>
                <w:sz w:val="22"/>
                <w:szCs w:val="22"/>
              </w:rPr>
              <w:t>Citation</w:t>
            </w:r>
          </w:p>
          <w:p w:rsidR="00824793" w:rsidRDefault="00B856B0" w:rsidP="00B856B0">
            <w:r w:rsidRPr="00AD3B29">
              <w:rPr>
                <w:rFonts w:cs="Calibri"/>
                <w:bCs/>
                <w:sz w:val="18"/>
              </w:rPr>
              <w:t>2 C.F.R. 200.430(8)(i)</w:t>
            </w:r>
          </w:p>
        </w:tc>
        <w:tc>
          <w:tcPr>
            <w:tcW w:w="155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24793" w:rsidRPr="00C75DC0" w:rsidRDefault="00824793" w:rsidP="00D00C99">
            <w:pPr>
              <w:rPr>
                <w:sz w:val="22"/>
                <w:szCs w:val="22"/>
              </w:rPr>
            </w:pPr>
            <w:r w:rsidRPr="00C75DC0">
              <w:rPr>
                <w:sz w:val="22"/>
                <w:szCs w:val="22"/>
              </w:rPr>
              <w:t>Supporting Documents and Resources</w:t>
            </w:r>
          </w:p>
        </w:tc>
        <w:tc>
          <w:tcPr>
            <w:tcW w:w="121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24793" w:rsidRPr="00C75DC0" w:rsidRDefault="00824793" w:rsidP="00D00C99">
            <w:pPr>
              <w:rPr>
                <w:sz w:val="22"/>
                <w:szCs w:val="22"/>
              </w:rPr>
            </w:pPr>
            <w:r w:rsidRPr="00C75DC0">
              <w:rPr>
                <w:sz w:val="22"/>
                <w:szCs w:val="22"/>
              </w:rPr>
              <w:t>Comments</w:t>
            </w:r>
          </w:p>
        </w:tc>
      </w:tr>
      <w:tr w:rsidR="00824793" w:rsidTr="00D00C99">
        <w:tc>
          <w:tcPr>
            <w:tcW w:w="223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856B0" w:rsidRPr="00AD3B29" w:rsidRDefault="00B856B0" w:rsidP="00B856B0">
            <w:pPr>
              <w:spacing w:before="0" w:after="0"/>
              <w:rPr>
                <w:rFonts w:cs="Calibri"/>
                <w:bCs/>
                <w:sz w:val="18"/>
              </w:rPr>
            </w:pPr>
            <w:r w:rsidRPr="00AD3B29">
              <w:rPr>
                <w:rFonts w:cs="Calibri"/>
                <w:bCs/>
                <w:sz w:val="18"/>
              </w:rPr>
              <w:t>The LEA maintains proper time and effort documentation that accounts for 100% of the effort of any employee that is paid in whole or in part with Federal funds.</w:t>
            </w:r>
          </w:p>
          <w:p w:rsidR="00824793" w:rsidRDefault="00B856B0" w:rsidP="00B856B0">
            <w:r w:rsidRPr="00AD3B29">
              <w:rPr>
                <w:rFonts w:cs="Calibri"/>
                <w:bCs/>
                <w:sz w:val="18"/>
              </w:rPr>
              <w:lastRenderedPageBreak/>
              <w:t>Personnel activity reports (PAR): If an employee works on multiple activities or cost objectives, a distribution of the employee’s salary and wages must be supported by a personnel activity report or equivalent documentation.</w:t>
            </w:r>
          </w:p>
        </w:tc>
        <w:tc>
          <w:tcPr>
            <w:tcW w:w="155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24793" w:rsidRDefault="00B856B0" w:rsidP="00FA3763">
            <w:pPr>
              <w:pStyle w:val="TableParagraph"/>
              <w:spacing w:before="0"/>
              <w:ind w:left="288" w:hanging="360"/>
              <w:rPr>
                <w:b/>
                <w:sz w:val="18"/>
                <w:szCs w:val="18"/>
              </w:rPr>
            </w:pPr>
            <w:r w:rsidRPr="00590D0D">
              <w:rPr>
                <w:b/>
                <w:sz w:val="18"/>
                <w:szCs w:val="18"/>
              </w:rPr>
              <w:lastRenderedPageBreak/>
              <w:t>Demonstration of Compliance</w:t>
            </w:r>
          </w:p>
          <w:p w:rsidR="006A5E48" w:rsidRDefault="006A5E48" w:rsidP="00B53215">
            <w:pPr>
              <w:pStyle w:val="TableParagraph"/>
              <w:numPr>
                <w:ilvl w:val="0"/>
                <w:numId w:val="17"/>
              </w:numPr>
              <w:spacing w:before="0"/>
              <w:rPr>
                <w:sz w:val="18"/>
                <w:szCs w:val="18"/>
              </w:rPr>
            </w:pPr>
            <w:r>
              <w:rPr>
                <w:sz w:val="18"/>
                <w:szCs w:val="18"/>
              </w:rPr>
              <w:t>LEA upload</w:t>
            </w:r>
            <w:r w:rsidR="00B32DEC">
              <w:rPr>
                <w:sz w:val="18"/>
                <w:szCs w:val="18"/>
              </w:rPr>
              <w:t>s</w:t>
            </w:r>
            <w:r>
              <w:rPr>
                <w:sz w:val="18"/>
                <w:szCs w:val="18"/>
              </w:rPr>
              <w:t xml:space="preserve"> Time and Effort policy. </w:t>
            </w:r>
          </w:p>
          <w:p w:rsidR="006A5E48" w:rsidRDefault="006A5E48" w:rsidP="00B53215">
            <w:pPr>
              <w:pStyle w:val="TableParagraph"/>
              <w:numPr>
                <w:ilvl w:val="0"/>
                <w:numId w:val="17"/>
              </w:numPr>
              <w:spacing w:before="0"/>
              <w:rPr>
                <w:sz w:val="18"/>
                <w:szCs w:val="18"/>
              </w:rPr>
            </w:pPr>
            <w:r>
              <w:rPr>
                <w:sz w:val="18"/>
                <w:szCs w:val="18"/>
              </w:rPr>
              <w:t>Staff paid with ESSER funds provide Time and Effort documentation according to your policy:</w:t>
            </w:r>
          </w:p>
          <w:p w:rsidR="00FA3763" w:rsidRPr="001C39B0" w:rsidRDefault="00FA3763" w:rsidP="001C39B0">
            <w:pPr>
              <w:pStyle w:val="TableParagraph"/>
              <w:numPr>
                <w:ilvl w:val="0"/>
                <w:numId w:val="17"/>
              </w:numPr>
              <w:spacing w:before="0"/>
              <w:ind w:left="576"/>
              <w:rPr>
                <w:sz w:val="18"/>
                <w:szCs w:val="18"/>
              </w:rPr>
            </w:pPr>
            <w:r w:rsidRPr="00FA3763">
              <w:rPr>
                <w:sz w:val="18"/>
                <w:szCs w:val="18"/>
              </w:rPr>
              <w:lastRenderedPageBreak/>
              <w:t>Semi-annual certification (single cost objective 100%)</w:t>
            </w:r>
            <w:r w:rsidR="001C39B0">
              <w:rPr>
                <w:sz w:val="18"/>
                <w:szCs w:val="18"/>
              </w:rPr>
              <w:t xml:space="preserve"> or </w:t>
            </w:r>
            <w:r w:rsidRPr="001C39B0">
              <w:rPr>
                <w:sz w:val="18"/>
                <w:szCs w:val="18"/>
              </w:rPr>
              <w:t>Personnel Activity Reports (PARs) (multiple cost objectives).</w:t>
            </w:r>
          </w:p>
          <w:p w:rsidR="00FA3763" w:rsidRPr="00FA3763" w:rsidRDefault="00FA3763" w:rsidP="006A5E48">
            <w:pPr>
              <w:pStyle w:val="TableParagraph"/>
              <w:spacing w:before="0"/>
              <w:ind w:left="288"/>
              <w:rPr>
                <w:b/>
                <w:sz w:val="18"/>
                <w:szCs w:val="18"/>
              </w:rPr>
            </w:pPr>
          </w:p>
        </w:tc>
        <w:tc>
          <w:tcPr>
            <w:tcW w:w="121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24793" w:rsidRDefault="00824793" w:rsidP="00D00C99"/>
        </w:tc>
      </w:tr>
    </w:tbl>
    <w:p w:rsidR="00032F5D" w:rsidRPr="00573596" w:rsidRDefault="00573596" w:rsidP="00573596">
      <w:pPr>
        <w:pStyle w:val="Heading1"/>
        <w:rPr>
          <w:szCs w:val="32"/>
        </w:rPr>
      </w:pPr>
      <w:r w:rsidRPr="00D64D35">
        <w:rPr>
          <w:szCs w:val="32"/>
        </w:rPr>
        <w:t>Procurement</w:t>
      </w:r>
    </w:p>
    <w:tbl>
      <w:tblPr>
        <w:tblStyle w:val="ProposalTable"/>
        <w:tblW w:w="5000" w:type="pct"/>
        <w:tblLook w:val="04A0" w:firstRow="1" w:lastRow="0" w:firstColumn="1" w:lastColumn="0" w:noHBand="0" w:noVBand="1"/>
      </w:tblPr>
      <w:tblGrid>
        <w:gridCol w:w="5789"/>
        <w:gridCol w:w="4017"/>
        <w:gridCol w:w="3144"/>
      </w:tblGrid>
      <w:tr w:rsidR="00824793" w:rsidRPr="00C75DC0" w:rsidTr="00D00C99">
        <w:trPr>
          <w:cnfStyle w:val="100000000000" w:firstRow="1" w:lastRow="0" w:firstColumn="0" w:lastColumn="0" w:oddVBand="0" w:evenVBand="0" w:oddHBand="0" w:evenHBand="0" w:firstRowFirstColumn="0" w:firstRowLastColumn="0" w:lastRowFirstColumn="0" w:lastRowLastColumn="0"/>
          <w:tblHeader/>
        </w:trPr>
        <w:tc>
          <w:tcPr>
            <w:tcW w:w="223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573596" w:rsidRDefault="00573596" w:rsidP="00573596">
            <w:pPr>
              <w:rPr>
                <w:b w:val="0"/>
                <w:sz w:val="22"/>
                <w:szCs w:val="22"/>
              </w:rPr>
            </w:pPr>
            <w:r w:rsidRPr="00B074A5">
              <w:rPr>
                <w:sz w:val="22"/>
                <w:szCs w:val="22"/>
              </w:rPr>
              <w:t>Citation</w:t>
            </w:r>
          </w:p>
          <w:p w:rsidR="00824793" w:rsidRDefault="00573596" w:rsidP="00573596">
            <w:r w:rsidRPr="00C53640">
              <w:rPr>
                <w:sz w:val="18"/>
              </w:rPr>
              <w:t>2 C.F.R. 200.318; 2 C.F.R. 200.319 2 C.F.R. 200.320</w:t>
            </w:r>
          </w:p>
        </w:tc>
        <w:tc>
          <w:tcPr>
            <w:tcW w:w="155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24793" w:rsidRPr="00C75DC0" w:rsidRDefault="00824793" w:rsidP="00D00C99">
            <w:pPr>
              <w:rPr>
                <w:sz w:val="22"/>
                <w:szCs w:val="22"/>
              </w:rPr>
            </w:pPr>
            <w:r w:rsidRPr="00C75DC0">
              <w:rPr>
                <w:sz w:val="22"/>
                <w:szCs w:val="22"/>
              </w:rPr>
              <w:t>Supporting Documents and Resources</w:t>
            </w:r>
          </w:p>
        </w:tc>
        <w:tc>
          <w:tcPr>
            <w:tcW w:w="121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24793" w:rsidRPr="00C75DC0" w:rsidRDefault="00824793" w:rsidP="00D00C99">
            <w:pPr>
              <w:rPr>
                <w:sz w:val="22"/>
                <w:szCs w:val="22"/>
              </w:rPr>
            </w:pPr>
            <w:r w:rsidRPr="00C75DC0">
              <w:rPr>
                <w:sz w:val="22"/>
                <w:szCs w:val="22"/>
              </w:rPr>
              <w:t>Comments</w:t>
            </w:r>
          </w:p>
        </w:tc>
      </w:tr>
      <w:tr w:rsidR="00573596" w:rsidTr="00E020C2">
        <w:trPr>
          <w:trHeight w:val="1475"/>
        </w:trPr>
        <w:tc>
          <w:tcPr>
            <w:tcW w:w="223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73596" w:rsidRPr="00590D0D" w:rsidRDefault="00573596" w:rsidP="00573596">
            <w:pPr>
              <w:pStyle w:val="TableParagraph"/>
              <w:spacing w:before="0"/>
              <w:ind w:left="0"/>
              <w:rPr>
                <w:i/>
                <w:sz w:val="18"/>
                <w:szCs w:val="18"/>
              </w:rPr>
            </w:pPr>
            <w:r w:rsidRPr="00590D0D">
              <w:rPr>
                <w:i/>
                <w:sz w:val="18"/>
                <w:szCs w:val="18"/>
              </w:rPr>
              <w:t>The non-Federal entity must use its own documented procurement procedures which reflect applicable State and local laws and regulations, provided that the procurement conforms to applicable Federal law and the standards identified in this section.</w:t>
            </w:r>
          </w:p>
          <w:p w:rsidR="00573596" w:rsidRPr="00573596" w:rsidRDefault="00573596" w:rsidP="00573596">
            <w:pPr>
              <w:spacing w:before="0" w:after="0"/>
              <w:rPr>
                <w:i/>
                <w:sz w:val="18"/>
              </w:rPr>
            </w:pPr>
            <w:r w:rsidRPr="00590D0D">
              <w:rPr>
                <w:i/>
                <w:sz w:val="18"/>
              </w:rPr>
              <w:t>Should the non-federal entity’s internal policy and/or procedures be less restrictive than federal procurement regulations, the federal regulation should be followed.</w:t>
            </w:r>
          </w:p>
        </w:tc>
        <w:tc>
          <w:tcPr>
            <w:tcW w:w="155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73596" w:rsidRPr="001C39B0" w:rsidRDefault="00573596" w:rsidP="00573596">
            <w:pPr>
              <w:pStyle w:val="TableParagraph"/>
              <w:spacing w:before="0"/>
              <w:ind w:left="288" w:hanging="360"/>
              <w:rPr>
                <w:b/>
                <w:sz w:val="18"/>
                <w:szCs w:val="18"/>
              </w:rPr>
            </w:pPr>
            <w:r w:rsidRPr="001C39B0">
              <w:rPr>
                <w:b/>
                <w:sz w:val="18"/>
                <w:szCs w:val="18"/>
              </w:rPr>
              <w:t>Demonstration of Compliance</w:t>
            </w:r>
          </w:p>
          <w:p w:rsidR="001E11B1" w:rsidRPr="001C39B0" w:rsidRDefault="00FA3763" w:rsidP="00B53215">
            <w:pPr>
              <w:pStyle w:val="TableParagraph"/>
              <w:numPr>
                <w:ilvl w:val="0"/>
                <w:numId w:val="19"/>
              </w:numPr>
              <w:tabs>
                <w:tab w:val="left" w:pos="819"/>
              </w:tabs>
              <w:spacing w:before="0"/>
              <w:rPr>
                <w:sz w:val="18"/>
                <w:szCs w:val="18"/>
              </w:rPr>
            </w:pPr>
            <w:r w:rsidRPr="001C39B0">
              <w:rPr>
                <w:sz w:val="18"/>
                <w:szCs w:val="18"/>
              </w:rPr>
              <w:t>LEA’s written procedures for procurement transactions, including vendor selection process. The procedures shall also describe the method(s) of procurement chosen by the LEA in regards to:</w:t>
            </w:r>
            <w:r w:rsidR="006A5E48" w:rsidRPr="001C39B0">
              <w:rPr>
                <w:sz w:val="18"/>
                <w:szCs w:val="18"/>
              </w:rPr>
              <w:t xml:space="preserve"> </w:t>
            </w:r>
            <w:r w:rsidRPr="001C39B0">
              <w:rPr>
                <w:sz w:val="18"/>
                <w:szCs w:val="18"/>
              </w:rPr>
              <w:t>micro purchases;</w:t>
            </w:r>
            <w:r w:rsidR="006A5E48" w:rsidRPr="001C39B0">
              <w:rPr>
                <w:sz w:val="18"/>
                <w:szCs w:val="18"/>
              </w:rPr>
              <w:t xml:space="preserve"> </w:t>
            </w:r>
            <w:r w:rsidRPr="001C39B0">
              <w:rPr>
                <w:sz w:val="18"/>
                <w:szCs w:val="18"/>
              </w:rPr>
              <w:t>small purchases;</w:t>
            </w:r>
            <w:r w:rsidR="006A5E48" w:rsidRPr="001C39B0">
              <w:rPr>
                <w:sz w:val="18"/>
                <w:szCs w:val="18"/>
              </w:rPr>
              <w:t xml:space="preserve"> </w:t>
            </w:r>
            <w:r w:rsidRPr="001C39B0">
              <w:rPr>
                <w:sz w:val="18"/>
                <w:szCs w:val="18"/>
              </w:rPr>
              <w:t>sealed bids;</w:t>
            </w:r>
            <w:r w:rsidR="006A5E48" w:rsidRPr="001C39B0">
              <w:rPr>
                <w:sz w:val="18"/>
                <w:szCs w:val="18"/>
              </w:rPr>
              <w:t xml:space="preserve"> </w:t>
            </w:r>
            <w:r w:rsidRPr="001C39B0">
              <w:rPr>
                <w:sz w:val="18"/>
                <w:szCs w:val="18"/>
              </w:rPr>
              <w:t>competitive proposals;</w:t>
            </w:r>
            <w:r w:rsidR="006A5E48" w:rsidRPr="001C39B0">
              <w:rPr>
                <w:sz w:val="18"/>
                <w:szCs w:val="18"/>
              </w:rPr>
              <w:t xml:space="preserve"> </w:t>
            </w:r>
            <w:r w:rsidRPr="001C39B0">
              <w:rPr>
                <w:sz w:val="18"/>
                <w:szCs w:val="18"/>
              </w:rPr>
              <w:t>non-competitive (sole source) proposals.</w:t>
            </w:r>
          </w:p>
          <w:p w:rsidR="006A5E48" w:rsidRPr="001C39B0" w:rsidRDefault="006A5E48" w:rsidP="00B53215">
            <w:pPr>
              <w:pStyle w:val="TableParagraph"/>
              <w:numPr>
                <w:ilvl w:val="0"/>
                <w:numId w:val="19"/>
              </w:numPr>
              <w:tabs>
                <w:tab w:val="left" w:pos="1179"/>
              </w:tabs>
              <w:spacing w:before="0"/>
              <w:rPr>
                <w:sz w:val="18"/>
                <w:szCs w:val="18"/>
                <w:lang w:eastAsia="ja-JP"/>
              </w:rPr>
            </w:pPr>
            <w:r w:rsidRPr="001C39B0">
              <w:rPr>
                <w:sz w:val="18"/>
                <w:szCs w:val="18"/>
                <w:lang w:eastAsia="ja-JP"/>
              </w:rPr>
              <w:t>LEA upload Procurement policy (proper levels of approval for purchase cost levels, separation</w:t>
            </w:r>
            <w:r w:rsidRPr="001C39B0">
              <w:rPr>
                <w:spacing w:val="-5"/>
                <w:sz w:val="18"/>
                <w:szCs w:val="18"/>
                <w:lang w:eastAsia="ja-JP"/>
              </w:rPr>
              <w:t xml:space="preserve"> </w:t>
            </w:r>
            <w:r w:rsidRPr="001C39B0">
              <w:rPr>
                <w:sz w:val="18"/>
                <w:szCs w:val="18"/>
                <w:lang w:eastAsia="ja-JP"/>
              </w:rPr>
              <w:t>of</w:t>
            </w:r>
            <w:r w:rsidRPr="001C39B0">
              <w:rPr>
                <w:spacing w:val="-5"/>
                <w:sz w:val="18"/>
                <w:szCs w:val="18"/>
                <w:lang w:eastAsia="ja-JP"/>
              </w:rPr>
              <w:t xml:space="preserve"> </w:t>
            </w:r>
            <w:r w:rsidRPr="001C39B0">
              <w:rPr>
                <w:sz w:val="18"/>
                <w:szCs w:val="18"/>
                <w:lang w:eastAsia="ja-JP"/>
              </w:rPr>
              <w:t>duties,</w:t>
            </w:r>
            <w:r w:rsidRPr="001C39B0">
              <w:rPr>
                <w:spacing w:val="-4"/>
                <w:sz w:val="18"/>
                <w:szCs w:val="18"/>
                <w:lang w:eastAsia="ja-JP"/>
              </w:rPr>
              <w:t xml:space="preserve"> </w:t>
            </w:r>
            <w:r w:rsidRPr="001C39B0">
              <w:rPr>
                <w:sz w:val="18"/>
                <w:szCs w:val="18"/>
                <w:lang w:eastAsia="ja-JP"/>
              </w:rPr>
              <w:t>proper</w:t>
            </w:r>
            <w:r w:rsidRPr="001C39B0">
              <w:rPr>
                <w:spacing w:val="-5"/>
                <w:sz w:val="18"/>
                <w:szCs w:val="18"/>
                <w:lang w:eastAsia="ja-JP"/>
              </w:rPr>
              <w:t xml:space="preserve"> </w:t>
            </w:r>
            <w:r w:rsidRPr="001C39B0">
              <w:rPr>
                <w:sz w:val="18"/>
                <w:szCs w:val="18"/>
                <w:lang w:eastAsia="ja-JP"/>
              </w:rPr>
              <w:t>and complete</w:t>
            </w:r>
            <w:r w:rsidRPr="001C39B0">
              <w:rPr>
                <w:spacing w:val="-1"/>
                <w:sz w:val="18"/>
                <w:szCs w:val="18"/>
                <w:lang w:eastAsia="ja-JP"/>
              </w:rPr>
              <w:t xml:space="preserve"> </w:t>
            </w:r>
            <w:r w:rsidRPr="001C39B0">
              <w:rPr>
                <w:sz w:val="18"/>
                <w:szCs w:val="18"/>
                <w:lang w:eastAsia="ja-JP"/>
              </w:rPr>
              <w:t>documentation)</w:t>
            </w:r>
          </w:p>
          <w:p w:rsidR="006A5E48" w:rsidRPr="001C39B0" w:rsidRDefault="006A5E48" w:rsidP="00B53215">
            <w:pPr>
              <w:pStyle w:val="TableParagraph"/>
              <w:numPr>
                <w:ilvl w:val="0"/>
                <w:numId w:val="19"/>
              </w:numPr>
              <w:tabs>
                <w:tab w:val="left" w:pos="819"/>
              </w:tabs>
              <w:spacing w:before="0"/>
              <w:rPr>
                <w:sz w:val="18"/>
                <w:szCs w:val="18"/>
              </w:rPr>
            </w:pPr>
            <w:r w:rsidRPr="001C39B0">
              <w:rPr>
                <w:sz w:val="18"/>
                <w:szCs w:val="18"/>
              </w:rPr>
              <w:t>LEA uploads an example of procurement process including CEF’s, invoices, bids, communication between vendor/LEA, etc.</w:t>
            </w:r>
            <w:r w:rsidR="001C39B0">
              <w:rPr>
                <w:sz w:val="18"/>
                <w:szCs w:val="18"/>
              </w:rPr>
              <w:t xml:space="preserve"> if applicable</w:t>
            </w:r>
          </w:p>
          <w:p w:rsidR="00573596" w:rsidRPr="001C39B0" w:rsidRDefault="005D7772" w:rsidP="00B53215">
            <w:pPr>
              <w:pStyle w:val="TableParagraph"/>
              <w:spacing w:before="0"/>
            </w:pPr>
            <w:hyperlink r:id="rId12" w:history="1">
              <w:r w:rsidR="00573596" w:rsidRPr="001C39B0">
                <w:rPr>
                  <w:rStyle w:val="Hyperlink"/>
                  <w:color w:val="auto"/>
                  <w:sz w:val="18"/>
                  <w:szCs w:val="18"/>
                </w:rPr>
                <w:t>ESSER-Request-for-Exemption-for-Competitive-Procurement.docx (live.com)</w:t>
              </w:r>
            </w:hyperlink>
          </w:p>
        </w:tc>
        <w:tc>
          <w:tcPr>
            <w:tcW w:w="121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73596" w:rsidRDefault="00573596" w:rsidP="00573596"/>
        </w:tc>
      </w:tr>
    </w:tbl>
    <w:p w:rsidR="00573596" w:rsidRDefault="00573596" w:rsidP="00573596">
      <w:pPr>
        <w:rPr>
          <w:b/>
          <w:color w:val="002060"/>
          <w:sz w:val="32"/>
          <w:szCs w:val="32"/>
        </w:rPr>
      </w:pPr>
    </w:p>
    <w:p w:rsidR="001C39B0" w:rsidRDefault="001C39B0" w:rsidP="00573596">
      <w:pPr>
        <w:rPr>
          <w:b/>
          <w:color w:val="002060"/>
          <w:sz w:val="32"/>
          <w:szCs w:val="32"/>
        </w:rPr>
      </w:pPr>
    </w:p>
    <w:p w:rsidR="00824793" w:rsidRPr="00573596" w:rsidRDefault="00573596" w:rsidP="00573596">
      <w:pPr>
        <w:rPr>
          <w:b/>
          <w:bCs/>
          <w:caps/>
          <w:color w:val="002060"/>
          <w:sz w:val="32"/>
          <w:szCs w:val="32"/>
        </w:rPr>
      </w:pPr>
      <w:r>
        <w:rPr>
          <w:b/>
          <w:color w:val="002060"/>
          <w:sz w:val="32"/>
          <w:szCs w:val="32"/>
        </w:rPr>
        <w:lastRenderedPageBreak/>
        <w:t>ETHICAL TRANSPARENCY</w:t>
      </w:r>
    </w:p>
    <w:tbl>
      <w:tblPr>
        <w:tblStyle w:val="ProposalTable"/>
        <w:tblW w:w="5000" w:type="pct"/>
        <w:tblLook w:val="04A0" w:firstRow="1" w:lastRow="0" w:firstColumn="1" w:lastColumn="0" w:noHBand="0" w:noVBand="1"/>
      </w:tblPr>
      <w:tblGrid>
        <w:gridCol w:w="5789"/>
        <w:gridCol w:w="4017"/>
        <w:gridCol w:w="3144"/>
      </w:tblGrid>
      <w:tr w:rsidR="00824793" w:rsidRPr="00C75DC0" w:rsidTr="00D00C99">
        <w:trPr>
          <w:cnfStyle w:val="100000000000" w:firstRow="1" w:lastRow="0" w:firstColumn="0" w:lastColumn="0" w:oddVBand="0" w:evenVBand="0" w:oddHBand="0" w:evenHBand="0" w:firstRowFirstColumn="0" w:firstRowLastColumn="0" w:lastRowFirstColumn="0" w:lastRowLastColumn="0"/>
          <w:tblHeader/>
        </w:trPr>
        <w:tc>
          <w:tcPr>
            <w:tcW w:w="223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573596" w:rsidRDefault="00573596" w:rsidP="00573596">
            <w:pPr>
              <w:rPr>
                <w:b w:val="0"/>
                <w:sz w:val="22"/>
                <w:szCs w:val="22"/>
              </w:rPr>
            </w:pPr>
            <w:r w:rsidRPr="00B074A5">
              <w:rPr>
                <w:sz w:val="22"/>
                <w:szCs w:val="22"/>
              </w:rPr>
              <w:t>Citation</w:t>
            </w:r>
          </w:p>
          <w:p w:rsidR="00824793" w:rsidRDefault="00573596" w:rsidP="00573596">
            <w:r w:rsidRPr="00C53640">
              <w:rPr>
                <w:sz w:val="18"/>
              </w:rPr>
              <w:t>2 C.F.R. 200.214, 2 CFR 180, 2 C.F.R. 200.112, 2 C.F.R. 200.113</w:t>
            </w:r>
          </w:p>
        </w:tc>
        <w:tc>
          <w:tcPr>
            <w:tcW w:w="155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24793" w:rsidRPr="00C75DC0" w:rsidRDefault="00824793" w:rsidP="00D00C99">
            <w:pPr>
              <w:rPr>
                <w:sz w:val="22"/>
                <w:szCs w:val="22"/>
              </w:rPr>
            </w:pPr>
            <w:r w:rsidRPr="00C75DC0">
              <w:rPr>
                <w:sz w:val="22"/>
                <w:szCs w:val="22"/>
              </w:rPr>
              <w:t>Supporting Documents and Resources</w:t>
            </w:r>
          </w:p>
        </w:tc>
        <w:tc>
          <w:tcPr>
            <w:tcW w:w="121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24793" w:rsidRPr="00C75DC0" w:rsidRDefault="00824793" w:rsidP="00D00C99">
            <w:pPr>
              <w:rPr>
                <w:sz w:val="22"/>
                <w:szCs w:val="22"/>
              </w:rPr>
            </w:pPr>
            <w:r w:rsidRPr="00C75DC0">
              <w:rPr>
                <w:sz w:val="22"/>
                <w:szCs w:val="22"/>
              </w:rPr>
              <w:t>Comments</w:t>
            </w:r>
          </w:p>
        </w:tc>
      </w:tr>
      <w:tr w:rsidR="00573596" w:rsidTr="00D00C99">
        <w:tc>
          <w:tcPr>
            <w:tcW w:w="223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73596" w:rsidRPr="00C53640" w:rsidRDefault="00573596" w:rsidP="00573596">
            <w:pPr>
              <w:pStyle w:val="TableParagraph"/>
              <w:spacing w:before="0"/>
              <w:rPr>
                <w:i/>
                <w:sz w:val="18"/>
                <w:szCs w:val="18"/>
              </w:rPr>
            </w:pPr>
            <w:r w:rsidRPr="00C53640">
              <w:rPr>
                <w:i/>
                <w:sz w:val="18"/>
                <w:szCs w:val="18"/>
              </w:rPr>
              <w:t>The LEA has procedures to identify and disclose in writing any violations of Federal criminal law involving fraud, bribery, or gratuity violations potentially affecting the Federal award to the Federal awarding agency or pass-through entity in accordance with policy.</w:t>
            </w:r>
          </w:p>
          <w:p w:rsidR="00573596" w:rsidRDefault="00573596" w:rsidP="00573596">
            <w:pPr>
              <w:pStyle w:val="TableParagraph"/>
              <w:spacing w:before="0"/>
              <w:rPr>
                <w:i/>
                <w:sz w:val="18"/>
                <w:szCs w:val="18"/>
              </w:rPr>
            </w:pPr>
            <w:r w:rsidRPr="00C53640">
              <w:rPr>
                <w:i/>
                <w:sz w:val="18"/>
                <w:szCs w:val="18"/>
              </w:rPr>
              <w:t>The LEA has procedures to identify and disclose in writing any potential conflict of interest to the Federal awarding agency or pass-through entity in accordance with policy.</w:t>
            </w:r>
          </w:p>
          <w:p w:rsidR="00573596" w:rsidRDefault="00573596" w:rsidP="00573596">
            <w:pPr>
              <w:pStyle w:val="TableParagraph"/>
              <w:spacing w:before="0"/>
              <w:rPr>
                <w:i/>
                <w:sz w:val="18"/>
                <w:szCs w:val="18"/>
              </w:rPr>
            </w:pPr>
          </w:p>
          <w:p w:rsidR="00573596" w:rsidRPr="00573596" w:rsidRDefault="00573596" w:rsidP="00573596">
            <w:pPr>
              <w:pStyle w:val="TableParagraph"/>
              <w:spacing w:before="0"/>
              <w:rPr>
                <w:i/>
                <w:sz w:val="18"/>
              </w:rPr>
            </w:pPr>
            <w:r w:rsidRPr="00C53640">
              <w:rPr>
                <w:i/>
                <w:sz w:val="18"/>
                <w:szCs w:val="18"/>
              </w:rPr>
              <w:t>The LEA has a procedure to identify and refrain from engaging with certain parties that are debarred, suspended or otherwise ineligible for participation in Federal assistance programs or activities.</w:t>
            </w:r>
          </w:p>
        </w:tc>
        <w:tc>
          <w:tcPr>
            <w:tcW w:w="155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73596" w:rsidRPr="00C53640" w:rsidRDefault="00573596" w:rsidP="00573596">
            <w:pPr>
              <w:pStyle w:val="TableParagraph"/>
              <w:spacing w:before="0"/>
              <w:ind w:left="288" w:hanging="360"/>
              <w:rPr>
                <w:b/>
                <w:sz w:val="18"/>
                <w:szCs w:val="18"/>
              </w:rPr>
            </w:pPr>
            <w:r w:rsidRPr="00C53640">
              <w:rPr>
                <w:b/>
                <w:sz w:val="18"/>
                <w:szCs w:val="18"/>
              </w:rPr>
              <w:t>Demonstration of Compliance</w:t>
            </w:r>
          </w:p>
          <w:p w:rsidR="00573596" w:rsidRPr="00C53640" w:rsidRDefault="00421E6C" w:rsidP="001C39B0">
            <w:pPr>
              <w:pStyle w:val="TableParagraph"/>
              <w:numPr>
                <w:ilvl w:val="0"/>
                <w:numId w:val="21"/>
              </w:numPr>
              <w:tabs>
                <w:tab w:val="left" w:pos="819"/>
              </w:tabs>
              <w:spacing w:before="0"/>
              <w:ind w:left="432"/>
              <w:rPr>
                <w:color w:val="3B3B3B" w:themeColor="text1" w:themeTint="E6"/>
                <w:sz w:val="18"/>
                <w:szCs w:val="18"/>
              </w:rPr>
            </w:pPr>
            <w:r w:rsidRPr="00374E45">
              <w:rPr>
                <w:color w:val="3B3B3B" w:themeColor="text1" w:themeTint="E6"/>
                <w:sz w:val="18"/>
                <w:szCs w:val="18"/>
              </w:rPr>
              <w:t>Written procedure/policy</w:t>
            </w:r>
            <w:r w:rsidR="001E11B1" w:rsidRPr="001E11B1">
              <w:rPr>
                <w:color w:val="3B3B3B" w:themeColor="text1" w:themeTint="E6"/>
                <w:sz w:val="18"/>
                <w:szCs w:val="18"/>
              </w:rPr>
              <w:t xml:space="preserve"> to identify fraud or bribery, conflict of interest, and parties that have been debarred or otherwise ineligible from participation in federal assistance programs or activities.</w:t>
            </w:r>
          </w:p>
          <w:p w:rsidR="00573596" w:rsidRPr="00271102" w:rsidRDefault="00573596" w:rsidP="00573596">
            <w:pPr>
              <w:pStyle w:val="TableParagraph"/>
              <w:tabs>
                <w:tab w:val="left" w:pos="819"/>
              </w:tabs>
              <w:spacing w:before="0"/>
              <w:ind w:left="288"/>
              <w:rPr>
                <w:color w:val="3B3B3B" w:themeColor="text1" w:themeTint="E6"/>
                <w:sz w:val="18"/>
                <w:szCs w:val="18"/>
              </w:rPr>
            </w:pPr>
          </w:p>
        </w:tc>
        <w:tc>
          <w:tcPr>
            <w:tcW w:w="121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73596" w:rsidRDefault="00573596" w:rsidP="00573596"/>
        </w:tc>
      </w:tr>
    </w:tbl>
    <w:p w:rsidR="006B1BC0" w:rsidRDefault="006B1BC0" w:rsidP="00573596">
      <w:pPr>
        <w:rPr>
          <w:b/>
          <w:color w:val="002060"/>
          <w:sz w:val="32"/>
          <w:szCs w:val="32"/>
        </w:rPr>
      </w:pPr>
    </w:p>
    <w:p w:rsidR="001E11B1" w:rsidRDefault="001E11B1">
      <w:pPr>
        <w:rPr>
          <w:b/>
          <w:color w:val="002060"/>
          <w:sz w:val="32"/>
          <w:szCs w:val="32"/>
        </w:rPr>
      </w:pPr>
      <w:r>
        <w:rPr>
          <w:b/>
          <w:color w:val="002060"/>
          <w:sz w:val="32"/>
          <w:szCs w:val="32"/>
        </w:rPr>
        <w:br w:type="page"/>
      </w:r>
    </w:p>
    <w:p w:rsidR="00824793" w:rsidRPr="00573596" w:rsidRDefault="00573596" w:rsidP="00573596">
      <w:pPr>
        <w:rPr>
          <w:b/>
          <w:bCs/>
          <w:caps/>
          <w:color w:val="002060"/>
          <w:sz w:val="32"/>
          <w:szCs w:val="32"/>
        </w:rPr>
      </w:pPr>
      <w:r>
        <w:rPr>
          <w:b/>
          <w:color w:val="002060"/>
          <w:sz w:val="32"/>
          <w:szCs w:val="32"/>
        </w:rPr>
        <w:lastRenderedPageBreak/>
        <w:t>INTERNAL CONTROLS</w:t>
      </w:r>
    </w:p>
    <w:tbl>
      <w:tblPr>
        <w:tblStyle w:val="ProposalTable"/>
        <w:tblW w:w="5000" w:type="pct"/>
        <w:tblLook w:val="04A0" w:firstRow="1" w:lastRow="0" w:firstColumn="1" w:lastColumn="0" w:noHBand="0" w:noVBand="1"/>
      </w:tblPr>
      <w:tblGrid>
        <w:gridCol w:w="5789"/>
        <w:gridCol w:w="4017"/>
        <w:gridCol w:w="3144"/>
      </w:tblGrid>
      <w:tr w:rsidR="00824793" w:rsidRPr="00C75DC0" w:rsidTr="00D00C99">
        <w:trPr>
          <w:cnfStyle w:val="100000000000" w:firstRow="1" w:lastRow="0" w:firstColumn="0" w:lastColumn="0" w:oddVBand="0" w:evenVBand="0" w:oddHBand="0" w:evenHBand="0" w:firstRowFirstColumn="0" w:firstRowLastColumn="0" w:lastRowFirstColumn="0" w:lastRowLastColumn="0"/>
          <w:tblHeader/>
        </w:trPr>
        <w:tc>
          <w:tcPr>
            <w:tcW w:w="223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573596" w:rsidRPr="0006718A" w:rsidRDefault="00573596" w:rsidP="00573596">
            <w:pPr>
              <w:rPr>
                <w:b w:val="0"/>
                <w:sz w:val="22"/>
                <w:szCs w:val="22"/>
              </w:rPr>
            </w:pPr>
            <w:r w:rsidRPr="00B074A5">
              <w:rPr>
                <w:sz w:val="22"/>
                <w:szCs w:val="22"/>
              </w:rPr>
              <w:t>Citation</w:t>
            </w:r>
          </w:p>
          <w:p w:rsidR="00824793" w:rsidRDefault="00573596" w:rsidP="00573596">
            <w:r w:rsidRPr="00C53640">
              <w:rPr>
                <w:sz w:val="18"/>
              </w:rPr>
              <w:t>2 C.F.R. 200.303</w:t>
            </w:r>
          </w:p>
        </w:tc>
        <w:tc>
          <w:tcPr>
            <w:tcW w:w="155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24793" w:rsidRPr="00C75DC0" w:rsidRDefault="00824793" w:rsidP="00D00C99">
            <w:pPr>
              <w:rPr>
                <w:sz w:val="22"/>
                <w:szCs w:val="22"/>
              </w:rPr>
            </w:pPr>
            <w:r w:rsidRPr="00C75DC0">
              <w:rPr>
                <w:sz w:val="22"/>
                <w:szCs w:val="22"/>
              </w:rPr>
              <w:t>Supporting Documents and Resources</w:t>
            </w:r>
          </w:p>
        </w:tc>
        <w:tc>
          <w:tcPr>
            <w:tcW w:w="121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24793" w:rsidRPr="00C75DC0" w:rsidRDefault="00824793" w:rsidP="00D00C99">
            <w:pPr>
              <w:rPr>
                <w:sz w:val="22"/>
                <w:szCs w:val="22"/>
              </w:rPr>
            </w:pPr>
            <w:r w:rsidRPr="00C75DC0">
              <w:rPr>
                <w:sz w:val="22"/>
                <w:szCs w:val="22"/>
              </w:rPr>
              <w:t>Comments</w:t>
            </w:r>
          </w:p>
        </w:tc>
      </w:tr>
      <w:tr w:rsidR="00824793" w:rsidTr="00D00C99">
        <w:tc>
          <w:tcPr>
            <w:tcW w:w="223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73596" w:rsidRPr="00C53640" w:rsidRDefault="00573596" w:rsidP="00573596">
            <w:pPr>
              <w:pStyle w:val="TableParagraph"/>
              <w:spacing w:before="0"/>
              <w:ind w:left="0"/>
              <w:rPr>
                <w:i/>
                <w:sz w:val="18"/>
                <w:szCs w:val="18"/>
              </w:rPr>
            </w:pPr>
            <w:r w:rsidRPr="00C53640">
              <w:rPr>
                <w:i/>
                <w:sz w:val="18"/>
                <w:szCs w:val="18"/>
              </w:rPr>
              <w:t>The LEA must establish and maintain effective internal control over the Federal award that provides reasonable assurance that the non- Federal entity is managing the Federal award in compliance with Federal statutes, regulations, and the terms and conditions of the Federal award.</w:t>
            </w:r>
          </w:p>
          <w:p w:rsidR="00824793" w:rsidRPr="00573596" w:rsidRDefault="00573596" w:rsidP="00573596">
            <w:pPr>
              <w:spacing w:before="0" w:after="0"/>
              <w:rPr>
                <w:i/>
                <w:sz w:val="18"/>
              </w:rPr>
            </w:pPr>
            <w:r w:rsidRPr="00C53640">
              <w:rPr>
                <w:i/>
                <w:sz w:val="18"/>
              </w:rPr>
              <w:t>LEAs are required to minimize the time elapsing between transfer of funds from U.S. or State Treasury (or pass through) and disbursement, so as not to exceed 3 days. SDE requires that all federal awards be managed on a reimbursement basis.</w:t>
            </w:r>
          </w:p>
        </w:tc>
        <w:tc>
          <w:tcPr>
            <w:tcW w:w="155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24793" w:rsidRDefault="00573596" w:rsidP="001E11B1">
            <w:pPr>
              <w:pStyle w:val="TableParagraph"/>
              <w:spacing w:before="0"/>
              <w:ind w:left="288" w:hanging="360"/>
              <w:rPr>
                <w:b/>
                <w:sz w:val="18"/>
                <w:szCs w:val="18"/>
              </w:rPr>
            </w:pPr>
            <w:r w:rsidRPr="00C53640">
              <w:rPr>
                <w:b/>
                <w:sz w:val="18"/>
                <w:szCs w:val="18"/>
              </w:rPr>
              <w:t>Demonstration of Compliance</w:t>
            </w:r>
          </w:p>
          <w:p w:rsidR="001E11B1" w:rsidRPr="001E11B1" w:rsidRDefault="001E11B1" w:rsidP="001C39B0">
            <w:pPr>
              <w:pStyle w:val="TableParagraph"/>
              <w:numPr>
                <w:ilvl w:val="0"/>
                <w:numId w:val="21"/>
              </w:numPr>
              <w:spacing w:before="0"/>
              <w:ind w:left="432"/>
              <w:rPr>
                <w:sz w:val="18"/>
                <w:szCs w:val="18"/>
              </w:rPr>
            </w:pPr>
            <w:r w:rsidRPr="001E11B1">
              <w:rPr>
                <w:sz w:val="18"/>
                <w:szCs w:val="18"/>
              </w:rPr>
              <w:t>The LEA has internal controls in place that identify: Accounting Functions, to include requests for funds reimbursement, general accounting functions (coding expenditures, managing accounts payable, etc.).</w:t>
            </w:r>
          </w:p>
          <w:p w:rsidR="001E11B1" w:rsidRPr="001E11B1" w:rsidRDefault="001E11B1" w:rsidP="001C39B0">
            <w:pPr>
              <w:pStyle w:val="TableParagraph"/>
              <w:numPr>
                <w:ilvl w:val="0"/>
                <w:numId w:val="21"/>
              </w:numPr>
              <w:spacing w:before="0"/>
              <w:ind w:left="432"/>
              <w:rPr>
                <w:sz w:val="18"/>
                <w:szCs w:val="18"/>
              </w:rPr>
            </w:pPr>
            <w:r w:rsidRPr="001C39B0">
              <w:rPr>
                <w:sz w:val="18"/>
                <w:szCs w:val="18"/>
                <w:u w:val="single"/>
              </w:rPr>
              <w:t>Cash Management/treasury functions</w:t>
            </w:r>
            <w:r w:rsidRPr="001E11B1">
              <w:rPr>
                <w:sz w:val="18"/>
                <w:szCs w:val="18"/>
              </w:rPr>
              <w:t xml:space="preserve"> to include interest liability.</w:t>
            </w:r>
          </w:p>
          <w:p w:rsidR="001E11B1" w:rsidRPr="001E11B1" w:rsidRDefault="001E11B1" w:rsidP="001C39B0">
            <w:pPr>
              <w:pStyle w:val="TableParagraph"/>
              <w:numPr>
                <w:ilvl w:val="0"/>
                <w:numId w:val="21"/>
              </w:numPr>
              <w:spacing w:before="0"/>
              <w:ind w:left="432"/>
              <w:rPr>
                <w:sz w:val="18"/>
                <w:szCs w:val="18"/>
              </w:rPr>
            </w:pPr>
            <w:r w:rsidRPr="001E11B1">
              <w:rPr>
                <w:sz w:val="18"/>
                <w:szCs w:val="18"/>
              </w:rPr>
              <w:t xml:space="preserve">Process and procedures for </w:t>
            </w:r>
            <w:r w:rsidRPr="001C39B0">
              <w:rPr>
                <w:sz w:val="18"/>
                <w:szCs w:val="18"/>
                <w:u w:val="single"/>
              </w:rPr>
              <w:t>the internal accounting system</w:t>
            </w:r>
            <w:r w:rsidRPr="001E11B1">
              <w:rPr>
                <w:sz w:val="18"/>
                <w:szCs w:val="18"/>
              </w:rPr>
              <w:t xml:space="preserve"> to track obligations, unobligated balances and interest earned, and how these are monitored.</w:t>
            </w:r>
          </w:p>
          <w:p w:rsidR="001E11B1" w:rsidRPr="001E11B1" w:rsidRDefault="001E11B1" w:rsidP="001C39B0">
            <w:pPr>
              <w:pStyle w:val="TableParagraph"/>
              <w:numPr>
                <w:ilvl w:val="0"/>
                <w:numId w:val="21"/>
              </w:numPr>
              <w:spacing w:before="0"/>
              <w:ind w:left="432"/>
              <w:rPr>
                <w:sz w:val="18"/>
                <w:szCs w:val="18"/>
              </w:rPr>
            </w:pPr>
            <w:r w:rsidRPr="001E11B1">
              <w:rPr>
                <w:sz w:val="18"/>
                <w:szCs w:val="18"/>
              </w:rPr>
              <w:t xml:space="preserve">Policy/procedures for review and approval of all </w:t>
            </w:r>
            <w:r w:rsidRPr="001C39B0">
              <w:rPr>
                <w:sz w:val="18"/>
                <w:szCs w:val="18"/>
                <w:u w:val="single"/>
              </w:rPr>
              <w:t>federally funded</w:t>
            </w:r>
            <w:r w:rsidRPr="001E11B1">
              <w:rPr>
                <w:sz w:val="18"/>
                <w:szCs w:val="18"/>
              </w:rPr>
              <w:t xml:space="preserve"> expenditures, obligations, payroll expenditures, requests for funds and interim and annual reporting.</w:t>
            </w:r>
          </w:p>
          <w:p w:rsidR="001E11B1" w:rsidRDefault="001E11B1" w:rsidP="001C39B0">
            <w:pPr>
              <w:pStyle w:val="TableParagraph"/>
              <w:numPr>
                <w:ilvl w:val="0"/>
                <w:numId w:val="21"/>
              </w:numPr>
              <w:spacing w:before="0"/>
              <w:ind w:left="432"/>
              <w:rPr>
                <w:b/>
                <w:sz w:val="18"/>
                <w:szCs w:val="18"/>
              </w:rPr>
            </w:pPr>
            <w:r w:rsidRPr="001E11B1">
              <w:rPr>
                <w:sz w:val="18"/>
                <w:szCs w:val="18"/>
              </w:rPr>
              <w:t xml:space="preserve">Policy/procedures in place for ensuring </w:t>
            </w:r>
            <w:r w:rsidRPr="001C39B0">
              <w:rPr>
                <w:sz w:val="18"/>
                <w:szCs w:val="18"/>
                <w:u w:val="single"/>
              </w:rPr>
              <w:t>separation of duties</w:t>
            </w:r>
            <w:r w:rsidRPr="001E11B1">
              <w:rPr>
                <w:sz w:val="18"/>
                <w:szCs w:val="18"/>
              </w:rPr>
              <w:t xml:space="preserve"> as well as review process for expenditures, time and effort, etc</w:t>
            </w:r>
            <w:r w:rsidRPr="001E11B1">
              <w:rPr>
                <w:b/>
                <w:sz w:val="18"/>
                <w:szCs w:val="18"/>
              </w:rPr>
              <w:t>.</w:t>
            </w:r>
          </w:p>
          <w:p w:rsidR="00C00A30" w:rsidRPr="00C00A30" w:rsidRDefault="00C00A30" w:rsidP="001C39B0">
            <w:pPr>
              <w:pStyle w:val="TableParagraph"/>
              <w:numPr>
                <w:ilvl w:val="0"/>
                <w:numId w:val="21"/>
              </w:numPr>
              <w:spacing w:before="0"/>
              <w:ind w:left="432"/>
              <w:rPr>
                <w:sz w:val="18"/>
                <w:szCs w:val="18"/>
              </w:rPr>
            </w:pPr>
            <w:r w:rsidRPr="00374E45">
              <w:rPr>
                <w:sz w:val="18"/>
                <w:szCs w:val="18"/>
              </w:rPr>
              <w:t xml:space="preserve">Single audit findings since 2019-2020 </w:t>
            </w:r>
            <w:r w:rsidRPr="001C39B0">
              <w:rPr>
                <w:sz w:val="18"/>
                <w:szCs w:val="18"/>
                <w:u w:val="single"/>
              </w:rPr>
              <w:t>concerning or regarding ESSER funds.</w:t>
            </w:r>
            <w:r w:rsidRPr="00374E45">
              <w:rPr>
                <w:sz w:val="18"/>
                <w:szCs w:val="18"/>
              </w:rPr>
              <w:t xml:space="preserve"> </w:t>
            </w:r>
          </w:p>
        </w:tc>
        <w:tc>
          <w:tcPr>
            <w:tcW w:w="121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24793" w:rsidRDefault="00824793" w:rsidP="00D00C99"/>
        </w:tc>
      </w:tr>
    </w:tbl>
    <w:p w:rsidR="001E11B1" w:rsidRDefault="001E11B1" w:rsidP="00573596">
      <w:pPr>
        <w:pStyle w:val="Heading1"/>
        <w:rPr>
          <w:szCs w:val="32"/>
        </w:rPr>
      </w:pPr>
    </w:p>
    <w:p w:rsidR="006B1BC0" w:rsidRPr="00374E45" w:rsidRDefault="001E11B1" w:rsidP="00573596">
      <w:pPr>
        <w:rPr>
          <w:color w:val="0E3354"/>
          <w:sz w:val="28"/>
        </w:rPr>
      </w:pPr>
      <w:r>
        <w:br w:type="page"/>
      </w:r>
    </w:p>
    <w:p w:rsidR="00824793" w:rsidRPr="00374E45" w:rsidRDefault="00573596" w:rsidP="00573596">
      <w:pPr>
        <w:rPr>
          <w:b/>
          <w:color w:val="002060"/>
          <w:sz w:val="32"/>
          <w:szCs w:val="32"/>
        </w:rPr>
      </w:pPr>
      <w:r>
        <w:rPr>
          <w:b/>
          <w:color w:val="002060"/>
          <w:sz w:val="32"/>
          <w:szCs w:val="32"/>
        </w:rPr>
        <w:lastRenderedPageBreak/>
        <w:t>INDIRECT COSTS</w:t>
      </w:r>
    </w:p>
    <w:tbl>
      <w:tblPr>
        <w:tblStyle w:val="ProposalTable"/>
        <w:tblW w:w="5000" w:type="pct"/>
        <w:tblLook w:val="04A0" w:firstRow="1" w:lastRow="0" w:firstColumn="1" w:lastColumn="0" w:noHBand="0" w:noVBand="1"/>
      </w:tblPr>
      <w:tblGrid>
        <w:gridCol w:w="5789"/>
        <w:gridCol w:w="4017"/>
        <w:gridCol w:w="3144"/>
      </w:tblGrid>
      <w:tr w:rsidR="00824793" w:rsidRPr="00C75DC0" w:rsidTr="00D00C99">
        <w:trPr>
          <w:cnfStyle w:val="100000000000" w:firstRow="1" w:lastRow="0" w:firstColumn="0" w:lastColumn="0" w:oddVBand="0" w:evenVBand="0" w:oddHBand="0" w:evenHBand="0" w:firstRowFirstColumn="0" w:firstRowLastColumn="0" w:lastRowFirstColumn="0" w:lastRowLastColumn="0"/>
          <w:tblHeader/>
        </w:trPr>
        <w:tc>
          <w:tcPr>
            <w:tcW w:w="223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573596" w:rsidRDefault="00573596" w:rsidP="00573596">
            <w:pPr>
              <w:rPr>
                <w:b w:val="0"/>
                <w:sz w:val="22"/>
                <w:szCs w:val="22"/>
              </w:rPr>
            </w:pPr>
            <w:r w:rsidRPr="00B074A5">
              <w:rPr>
                <w:sz w:val="22"/>
                <w:szCs w:val="22"/>
              </w:rPr>
              <w:t>Citation</w:t>
            </w:r>
          </w:p>
          <w:p w:rsidR="00824793" w:rsidRDefault="00573596" w:rsidP="00573596">
            <w:r w:rsidRPr="009B4869">
              <w:rPr>
                <w:sz w:val="18"/>
              </w:rPr>
              <w:t>2 C.F.R. 200.412</w:t>
            </w:r>
          </w:p>
        </w:tc>
        <w:tc>
          <w:tcPr>
            <w:tcW w:w="155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24793" w:rsidRPr="00C75DC0" w:rsidRDefault="00824793" w:rsidP="00D00C99">
            <w:pPr>
              <w:rPr>
                <w:sz w:val="22"/>
                <w:szCs w:val="22"/>
              </w:rPr>
            </w:pPr>
            <w:r w:rsidRPr="00C75DC0">
              <w:rPr>
                <w:sz w:val="22"/>
                <w:szCs w:val="22"/>
              </w:rPr>
              <w:t>Supporting Documents and Resources</w:t>
            </w:r>
          </w:p>
        </w:tc>
        <w:tc>
          <w:tcPr>
            <w:tcW w:w="121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24793" w:rsidRPr="00C75DC0" w:rsidRDefault="00824793" w:rsidP="00D00C99">
            <w:pPr>
              <w:rPr>
                <w:sz w:val="22"/>
                <w:szCs w:val="22"/>
              </w:rPr>
            </w:pPr>
            <w:r w:rsidRPr="00C75DC0">
              <w:rPr>
                <w:sz w:val="22"/>
                <w:szCs w:val="22"/>
              </w:rPr>
              <w:t>Comments</w:t>
            </w:r>
          </w:p>
        </w:tc>
      </w:tr>
      <w:tr w:rsidR="00573596" w:rsidTr="001E11B1">
        <w:trPr>
          <w:trHeight w:val="2537"/>
        </w:trPr>
        <w:tc>
          <w:tcPr>
            <w:tcW w:w="223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73596" w:rsidRPr="009B4869" w:rsidRDefault="00573596" w:rsidP="00573596">
            <w:pPr>
              <w:pStyle w:val="TableParagraph"/>
              <w:spacing w:before="0"/>
              <w:ind w:left="0"/>
              <w:rPr>
                <w:i/>
                <w:sz w:val="18"/>
                <w:szCs w:val="18"/>
              </w:rPr>
            </w:pPr>
            <w:r w:rsidRPr="009B4869">
              <w:rPr>
                <w:i/>
                <w:sz w:val="18"/>
                <w:szCs w:val="18"/>
              </w:rPr>
              <w:t>There is no universal rule for classifying certain costs as either direct or indirect (F&amp;A) under every accounting system. A cost may be direct with respect to some specific service or function, but indirect with respect to the Federal award or other final cost objective. Therefore, it is essential that each item of cost incurred for the same purpose be treated consistently in like circumstances either as a direct or an indirect (F&amp;A) cost in order to avoid possible double-charging of Federal awards.</w:t>
            </w:r>
          </w:p>
          <w:p w:rsidR="00573596" w:rsidRPr="009B4869" w:rsidRDefault="00573596" w:rsidP="00573596">
            <w:pPr>
              <w:pStyle w:val="TableParagraph"/>
              <w:spacing w:before="0"/>
              <w:ind w:left="0"/>
              <w:rPr>
                <w:sz w:val="18"/>
                <w:szCs w:val="18"/>
              </w:rPr>
            </w:pPr>
          </w:p>
          <w:p w:rsidR="00573596" w:rsidRPr="001E11B1" w:rsidRDefault="00573596" w:rsidP="00573596">
            <w:pPr>
              <w:spacing w:before="0" w:after="0"/>
              <w:rPr>
                <w:i/>
                <w:sz w:val="18"/>
              </w:rPr>
            </w:pPr>
            <w:r w:rsidRPr="009B4869">
              <w:rPr>
                <w:i/>
                <w:sz w:val="18"/>
              </w:rPr>
              <w:t>Items of cost which are included in a negotiated Indirect Cost Rate base, cannot also be charged to a federal award as a direct cost, as this would result in ‘double</w:t>
            </w:r>
            <w:r w:rsidRPr="009B4869">
              <w:rPr>
                <w:i/>
                <w:spacing w:val="-4"/>
                <w:sz w:val="18"/>
              </w:rPr>
              <w:t xml:space="preserve"> </w:t>
            </w:r>
            <w:r w:rsidRPr="009B4869">
              <w:rPr>
                <w:i/>
                <w:sz w:val="18"/>
              </w:rPr>
              <w:t>dipping’.</w:t>
            </w:r>
          </w:p>
        </w:tc>
        <w:tc>
          <w:tcPr>
            <w:tcW w:w="155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11B1" w:rsidRDefault="00573596" w:rsidP="001E11B1">
            <w:pPr>
              <w:pStyle w:val="TableParagraph"/>
              <w:spacing w:before="0"/>
              <w:ind w:left="288" w:hanging="360"/>
              <w:rPr>
                <w:b/>
                <w:sz w:val="18"/>
                <w:szCs w:val="18"/>
              </w:rPr>
            </w:pPr>
            <w:r w:rsidRPr="009B4869">
              <w:rPr>
                <w:b/>
                <w:sz w:val="18"/>
                <w:szCs w:val="18"/>
              </w:rPr>
              <w:t>Demonstration of Compliance</w:t>
            </w:r>
          </w:p>
          <w:p w:rsidR="001E11B1" w:rsidRPr="001E11B1" w:rsidRDefault="001E11B1" w:rsidP="00B53215">
            <w:pPr>
              <w:pStyle w:val="TableParagraph"/>
              <w:numPr>
                <w:ilvl w:val="0"/>
                <w:numId w:val="23"/>
              </w:numPr>
              <w:spacing w:before="0"/>
              <w:rPr>
                <w:sz w:val="18"/>
                <w:szCs w:val="18"/>
              </w:rPr>
            </w:pPr>
            <w:r w:rsidRPr="001E11B1">
              <w:rPr>
                <w:sz w:val="18"/>
                <w:szCs w:val="18"/>
              </w:rPr>
              <w:t>Expenditure detail by job class code and object code.</w:t>
            </w:r>
          </w:p>
          <w:p w:rsidR="001E11B1" w:rsidRPr="001E11B1" w:rsidRDefault="001E11B1" w:rsidP="00B53215">
            <w:pPr>
              <w:pStyle w:val="TableParagraph"/>
              <w:numPr>
                <w:ilvl w:val="0"/>
                <w:numId w:val="23"/>
              </w:numPr>
              <w:spacing w:before="0"/>
              <w:rPr>
                <w:sz w:val="18"/>
                <w:szCs w:val="18"/>
              </w:rPr>
            </w:pPr>
            <w:r w:rsidRPr="001E11B1">
              <w:rPr>
                <w:sz w:val="18"/>
                <w:szCs w:val="18"/>
              </w:rPr>
              <w:t>Expenses included in general costs, review of calculation of ICR to ensure no administrative costs used to calculate ICR, are also charged as direct costs to award.</w:t>
            </w:r>
          </w:p>
          <w:p w:rsidR="00573596" w:rsidRPr="00374E45" w:rsidRDefault="001E11B1" w:rsidP="00B53215">
            <w:pPr>
              <w:pStyle w:val="TableParagraph"/>
              <w:numPr>
                <w:ilvl w:val="0"/>
                <w:numId w:val="23"/>
              </w:numPr>
              <w:spacing w:before="0"/>
              <w:rPr>
                <w:b/>
                <w:sz w:val="18"/>
                <w:szCs w:val="18"/>
              </w:rPr>
            </w:pPr>
            <w:r w:rsidRPr="001E11B1">
              <w:rPr>
                <w:sz w:val="18"/>
                <w:szCs w:val="18"/>
              </w:rPr>
              <w:t>Calculating based on actual expenditures vs. allocation, review of calculation.</w:t>
            </w:r>
          </w:p>
          <w:p w:rsidR="00374E45" w:rsidRPr="001E11B1" w:rsidRDefault="00374E45" w:rsidP="00B53215">
            <w:pPr>
              <w:pStyle w:val="TableParagraph"/>
              <w:numPr>
                <w:ilvl w:val="0"/>
                <w:numId w:val="23"/>
              </w:numPr>
              <w:spacing w:before="0"/>
              <w:rPr>
                <w:b/>
                <w:sz w:val="18"/>
                <w:szCs w:val="18"/>
              </w:rPr>
            </w:pPr>
            <w:r>
              <w:rPr>
                <w:sz w:val="18"/>
                <w:szCs w:val="18"/>
              </w:rPr>
              <w:t>LEA provide a statement if indirect costs does not apply</w:t>
            </w:r>
            <w:r w:rsidR="00D77222">
              <w:rPr>
                <w:sz w:val="18"/>
                <w:szCs w:val="18"/>
              </w:rPr>
              <w:t xml:space="preserve"> to LEA.</w:t>
            </w:r>
          </w:p>
        </w:tc>
        <w:tc>
          <w:tcPr>
            <w:tcW w:w="121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73596" w:rsidRDefault="00573596" w:rsidP="00573596"/>
        </w:tc>
      </w:tr>
    </w:tbl>
    <w:p w:rsidR="00032F5D" w:rsidRPr="00573596" w:rsidRDefault="00573596" w:rsidP="00573596">
      <w:pPr>
        <w:pStyle w:val="Heading1"/>
        <w:rPr>
          <w:rStyle w:val="SubtleEmphasis"/>
          <w:i w:val="0"/>
          <w:iCs w:val="0"/>
          <w:color w:val="0E3354"/>
          <w:szCs w:val="32"/>
        </w:rPr>
      </w:pPr>
      <w:r w:rsidRPr="00F52B6C">
        <w:rPr>
          <w:szCs w:val="32"/>
        </w:rPr>
        <w:t>new construction</w:t>
      </w:r>
      <w:r w:rsidR="00374E45">
        <w:rPr>
          <w:szCs w:val="32"/>
        </w:rPr>
        <w:t xml:space="preserve">- </w:t>
      </w:r>
      <w:r w:rsidR="00421E6C" w:rsidRPr="00374E45">
        <w:rPr>
          <w:szCs w:val="32"/>
        </w:rPr>
        <w:t>renovation</w:t>
      </w:r>
    </w:p>
    <w:p w:rsidR="00032F5D" w:rsidRDefault="00032F5D" w:rsidP="00032F5D">
      <w:pPr>
        <w:pStyle w:val="NoSpacing"/>
        <w:rPr>
          <w:rStyle w:val="Emphasis"/>
        </w:rPr>
      </w:pPr>
    </w:p>
    <w:tbl>
      <w:tblPr>
        <w:tblStyle w:val="ProposalTable"/>
        <w:tblW w:w="5000" w:type="pct"/>
        <w:tblLook w:val="04A0" w:firstRow="1" w:lastRow="0" w:firstColumn="1" w:lastColumn="0" w:noHBand="0" w:noVBand="1"/>
      </w:tblPr>
      <w:tblGrid>
        <w:gridCol w:w="5789"/>
        <w:gridCol w:w="4017"/>
        <w:gridCol w:w="3144"/>
      </w:tblGrid>
      <w:tr w:rsidR="00573596" w:rsidRPr="00C75DC0" w:rsidTr="00025CBB">
        <w:trPr>
          <w:cnfStyle w:val="100000000000" w:firstRow="1" w:lastRow="0" w:firstColumn="0" w:lastColumn="0" w:oddVBand="0" w:evenVBand="0" w:oddHBand="0" w:evenHBand="0" w:firstRowFirstColumn="0" w:firstRowLastColumn="0" w:lastRowFirstColumn="0" w:lastRowLastColumn="0"/>
          <w:tblHeader/>
        </w:trPr>
        <w:tc>
          <w:tcPr>
            <w:tcW w:w="223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573596" w:rsidRDefault="00573596" w:rsidP="00573596">
            <w:pPr>
              <w:rPr>
                <w:b w:val="0"/>
                <w:sz w:val="22"/>
                <w:szCs w:val="22"/>
              </w:rPr>
            </w:pPr>
            <w:r w:rsidRPr="00B074A5">
              <w:rPr>
                <w:sz w:val="22"/>
                <w:szCs w:val="22"/>
              </w:rPr>
              <w:t>Citation</w:t>
            </w:r>
          </w:p>
          <w:p w:rsidR="00573596" w:rsidRDefault="00573596" w:rsidP="00573596">
            <w:pPr>
              <w:rPr>
                <w:b w:val="0"/>
                <w:sz w:val="22"/>
                <w:szCs w:val="22"/>
              </w:rPr>
            </w:pPr>
            <w:r>
              <w:rPr>
                <w:sz w:val="18"/>
              </w:rPr>
              <w:t>ARP ESSER III</w:t>
            </w:r>
          </w:p>
          <w:p w:rsidR="00573596" w:rsidRDefault="00573596" w:rsidP="00573596">
            <w:r w:rsidRPr="007C28A4">
              <w:rPr>
                <w:sz w:val="18"/>
              </w:rPr>
              <w:t>ESSER III 34 CFR ( 76.600) (75.600-75.618)2 CFR 200.439(b)</w:t>
            </w:r>
          </w:p>
        </w:tc>
        <w:tc>
          <w:tcPr>
            <w:tcW w:w="155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573596" w:rsidRPr="00C75DC0" w:rsidRDefault="00573596" w:rsidP="00025CBB">
            <w:pPr>
              <w:rPr>
                <w:sz w:val="22"/>
                <w:szCs w:val="22"/>
              </w:rPr>
            </w:pPr>
            <w:r w:rsidRPr="00C75DC0">
              <w:rPr>
                <w:sz w:val="22"/>
                <w:szCs w:val="22"/>
              </w:rPr>
              <w:t>Supporting Documents and Resources</w:t>
            </w:r>
          </w:p>
        </w:tc>
        <w:tc>
          <w:tcPr>
            <w:tcW w:w="121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573596" w:rsidRPr="00C75DC0" w:rsidRDefault="00573596" w:rsidP="00025CBB">
            <w:pPr>
              <w:rPr>
                <w:sz w:val="22"/>
                <w:szCs w:val="22"/>
              </w:rPr>
            </w:pPr>
            <w:r w:rsidRPr="00C75DC0">
              <w:rPr>
                <w:sz w:val="22"/>
                <w:szCs w:val="22"/>
              </w:rPr>
              <w:t>Comments</w:t>
            </w:r>
          </w:p>
        </w:tc>
      </w:tr>
      <w:tr w:rsidR="00573596" w:rsidTr="00025CBB">
        <w:tc>
          <w:tcPr>
            <w:tcW w:w="223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73596" w:rsidRPr="00573596" w:rsidRDefault="00573596" w:rsidP="00573596">
            <w:pPr>
              <w:spacing w:before="0" w:after="0"/>
              <w:rPr>
                <w:i/>
                <w:sz w:val="18"/>
              </w:rPr>
            </w:pPr>
            <w:r w:rsidRPr="007C28A4">
              <w:rPr>
                <w:i/>
                <w:sz w:val="18"/>
              </w:rPr>
              <w:t>An LEA using ESSER or GEER funds for remodeling, renovation, and new construction must comply with additional federal requirements. These projects require prior written approval by the SEA. Approved construction projects also must comply with applicable Uniform Guidance requirements, Davis-Bacon prevailing wage requirements, and all of the Department’s applicable regulations regarding construction.</w:t>
            </w:r>
          </w:p>
        </w:tc>
        <w:tc>
          <w:tcPr>
            <w:tcW w:w="155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73596" w:rsidRPr="00374E45" w:rsidRDefault="00573596" w:rsidP="001E11B1">
            <w:pPr>
              <w:pStyle w:val="TableParagraph"/>
              <w:spacing w:before="0"/>
              <w:ind w:left="288" w:hanging="360"/>
              <w:rPr>
                <w:b/>
                <w:sz w:val="18"/>
                <w:szCs w:val="18"/>
              </w:rPr>
            </w:pPr>
            <w:r w:rsidRPr="00374E45">
              <w:rPr>
                <w:b/>
                <w:sz w:val="18"/>
                <w:szCs w:val="18"/>
              </w:rPr>
              <w:t>Demonstration of Compliance</w:t>
            </w:r>
          </w:p>
          <w:p w:rsidR="001E11B1" w:rsidRDefault="001E11B1" w:rsidP="00B53215">
            <w:pPr>
              <w:pStyle w:val="TableParagraph"/>
              <w:numPr>
                <w:ilvl w:val="0"/>
                <w:numId w:val="24"/>
              </w:numPr>
              <w:spacing w:before="0"/>
              <w:rPr>
                <w:sz w:val="18"/>
                <w:szCs w:val="18"/>
              </w:rPr>
            </w:pPr>
            <w:r w:rsidRPr="00374E45">
              <w:rPr>
                <w:sz w:val="18"/>
                <w:szCs w:val="18"/>
              </w:rPr>
              <w:t>Prior written approval was obtained before the completion of   the construction from SDE.</w:t>
            </w:r>
            <w:r w:rsidR="004B1E38">
              <w:rPr>
                <w:sz w:val="18"/>
                <w:szCs w:val="18"/>
              </w:rPr>
              <w:t xml:space="preserve"> (CEF form completed)</w:t>
            </w:r>
          </w:p>
          <w:p w:rsidR="004B1E38" w:rsidRPr="00374E45" w:rsidRDefault="004B1E38" w:rsidP="00B53215">
            <w:pPr>
              <w:pStyle w:val="TableParagraph"/>
              <w:numPr>
                <w:ilvl w:val="0"/>
                <w:numId w:val="24"/>
              </w:numPr>
              <w:spacing w:before="0"/>
              <w:rPr>
                <w:sz w:val="18"/>
                <w:szCs w:val="18"/>
              </w:rPr>
            </w:pPr>
            <w:r w:rsidRPr="00374E45">
              <w:rPr>
                <w:sz w:val="18"/>
                <w:szCs w:val="18"/>
              </w:rPr>
              <w:t>All capital expenditures must also meet local procurement policies</w:t>
            </w:r>
            <w:r>
              <w:rPr>
                <w:sz w:val="18"/>
                <w:szCs w:val="18"/>
              </w:rPr>
              <w:t>.</w:t>
            </w:r>
          </w:p>
          <w:p w:rsidR="0093301E" w:rsidRPr="00374E45" w:rsidRDefault="001E11B1" w:rsidP="00B53215">
            <w:pPr>
              <w:pStyle w:val="TableParagraph"/>
              <w:numPr>
                <w:ilvl w:val="0"/>
                <w:numId w:val="24"/>
              </w:numPr>
              <w:spacing w:before="0"/>
              <w:rPr>
                <w:sz w:val="18"/>
                <w:szCs w:val="18"/>
              </w:rPr>
            </w:pPr>
            <w:r w:rsidRPr="00374E45">
              <w:rPr>
                <w:sz w:val="18"/>
                <w:szCs w:val="18"/>
              </w:rPr>
              <w:t>All remodeling, renovation, repairs, and new construction costing more than $2,000 comply with the Davis-Bacon Prevailing Wage Requirements. Specifically, all contractors and subcontractors were paid prevailing wages in the LEA’s area.</w:t>
            </w:r>
            <w:r w:rsidR="0093301E" w:rsidRPr="00374E45">
              <w:rPr>
                <w:sz w:val="18"/>
                <w:szCs w:val="18"/>
              </w:rPr>
              <w:t xml:space="preserve"> Do you have weekly pay </w:t>
            </w:r>
            <w:r w:rsidR="0093301E" w:rsidRPr="00374E45">
              <w:rPr>
                <w:sz w:val="18"/>
                <w:szCs w:val="18"/>
              </w:rPr>
              <w:lastRenderedPageBreak/>
              <w:t xml:space="preserve">statements? </w:t>
            </w:r>
          </w:p>
          <w:p w:rsidR="001E11B1" w:rsidRPr="00374E45" w:rsidRDefault="001E11B1" w:rsidP="00B53215">
            <w:pPr>
              <w:pStyle w:val="TableParagraph"/>
              <w:numPr>
                <w:ilvl w:val="0"/>
                <w:numId w:val="24"/>
              </w:numPr>
              <w:spacing w:before="0"/>
              <w:rPr>
                <w:sz w:val="18"/>
                <w:szCs w:val="18"/>
              </w:rPr>
            </w:pPr>
            <w:r w:rsidRPr="00374E45">
              <w:rPr>
                <w:sz w:val="18"/>
                <w:szCs w:val="18"/>
              </w:rPr>
              <w:t>Davis-Bacon and Related Acts | U.S. Department of Labor (dol.gov).</w:t>
            </w:r>
            <w:r w:rsidR="0093301E" w:rsidRPr="00374E45">
              <w:rPr>
                <w:sz w:val="18"/>
                <w:szCs w:val="18"/>
              </w:rPr>
              <w:t xml:space="preserve"> </w:t>
            </w:r>
            <w:r w:rsidRPr="00374E45">
              <w:rPr>
                <w:sz w:val="18"/>
                <w:szCs w:val="18"/>
              </w:rPr>
              <w:t>Proper title and interest are secured by the LEA for a period of the useful life of the building or 50 years.</w:t>
            </w:r>
          </w:p>
          <w:p w:rsidR="001E11B1" w:rsidRPr="00374E45" w:rsidRDefault="001E11B1" w:rsidP="00B53215">
            <w:pPr>
              <w:pStyle w:val="TableParagraph"/>
              <w:numPr>
                <w:ilvl w:val="0"/>
                <w:numId w:val="24"/>
              </w:numPr>
              <w:spacing w:before="0"/>
              <w:rPr>
                <w:sz w:val="18"/>
                <w:szCs w:val="18"/>
              </w:rPr>
            </w:pPr>
            <w:r w:rsidRPr="00374E45">
              <w:rPr>
                <w:sz w:val="18"/>
                <w:szCs w:val="18"/>
              </w:rPr>
              <w:t xml:space="preserve">The LEA has ensured that the building </w:t>
            </w:r>
            <w:proofErr w:type="gramStart"/>
            <w:r w:rsidRPr="00374E45">
              <w:rPr>
                <w:sz w:val="18"/>
                <w:szCs w:val="18"/>
              </w:rPr>
              <w:t>is in compliance with</w:t>
            </w:r>
            <w:proofErr w:type="gramEnd"/>
            <w:r w:rsidRPr="00374E45">
              <w:rPr>
                <w:sz w:val="18"/>
                <w:szCs w:val="18"/>
              </w:rPr>
              <w:t xml:space="preserve"> all federal, state and local health and safety regulations.</w:t>
            </w:r>
          </w:p>
          <w:p w:rsidR="001E11B1" w:rsidRPr="00374E45" w:rsidRDefault="001E11B1" w:rsidP="00B53215">
            <w:pPr>
              <w:pStyle w:val="TableParagraph"/>
              <w:numPr>
                <w:ilvl w:val="0"/>
                <w:numId w:val="24"/>
              </w:numPr>
              <w:spacing w:before="0"/>
              <w:rPr>
                <w:sz w:val="18"/>
                <w:szCs w:val="18"/>
              </w:rPr>
            </w:pPr>
            <w:r w:rsidRPr="00374E45">
              <w:rPr>
                <w:sz w:val="18"/>
                <w:szCs w:val="18"/>
              </w:rPr>
              <w:t>The construction and/or remodel complies with the regulations of the Americans with Disabilities Act.</w:t>
            </w:r>
          </w:p>
          <w:p w:rsidR="001E11B1" w:rsidRPr="00374E45" w:rsidRDefault="001E11B1" w:rsidP="00B53215">
            <w:pPr>
              <w:pStyle w:val="TableParagraph"/>
              <w:numPr>
                <w:ilvl w:val="0"/>
                <w:numId w:val="24"/>
              </w:numPr>
              <w:spacing w:before="0"/>
              <w:rPr>
                <w:sz w:val="18"/>
                <w:szCs w:val="18"/>
              </w:rPr>
            </w:pPr>
            <w:r w:rsidRPr="00374E45">
              <w:rPr>
                <w:sz w:val="18"/>
                <w:szCs w:val="18"/>
              </w:rPr>
              <w:t>The LEA has sufficient funds or a plan to obtain the funds to continue to  run and upkeep the building.</w:t>
            </w:r>
          </w:p>
          <w:p w:rsidR="001E11B1" w:rsidRDefault="001E11B1" w:rsidP="00B53215">
            <w:pPr>
              <w:pStyle w:val="TableParagraph"/>
              <w:numPr>
                <w:ilvl w:val="0"/>
                <w:numId w:val="24"/>
              </w:numPr>
              <w:spacing w:before="0"/>
              <w:rPr>
                <w:sz w:val="18"/>
                <w:szCs w:val="18"/>
              </w:rPr>
            </w:pPr>
            <w:r w:rsidRPr="00374E45">
              <w:rPr>
                <w:sz w:val="18"/>
                <w:szCs w:val="18"/>
              </w:rPr>
              <w:t>There is proper insurance on all real property and that all disposal meets the Federal guidelines.</w:t>
            </w:r>
          </w:p>
          <w:p w:rsidR="004B1E38" w:rsidRPr="00374E45" w:rsidRDefault="004B1E38" w:rsidP="00B53215">
            <w:pPr>
              <w:pStyle w:val="TableParagraph"/>
              <w:numPr>
                <w:ilvl w:val="0"/>
                <w:numId w:val="24"/>
              </w:numPr>
              <w:spacing w:before="0"/>
              <w:rPr>
                <w:sz w:val="18"/>
                <w:szCs w:val="18"/>
              </w:rPr>
            </w:pPr>
            <w:r>
              <w:rPr>
                <w:sz w:val="18"/>
                <w:szCs w:val="18"/>
              </w:rPr>
              <w:t xml:space="preserve">LEA provide narrative statement if no new construction/renovation, future construction/renovation, and/or progress of construction/renovation projects. </w:t>
            </w:r>
          </w:p>
          <w:p w:rsidR="001E11B1" w:rsidRPr="00374E45" w:rsidRDefault="001E11B1" w:rsidP="004B1E38">
            <w:pPr>
              <w:pStyle w:val="TableParagraph"/>
              <w:spacing w:before="0"/>
              <w:ind w:left="216"/>
              <w:rPr>
                <w:b/>
                <w:sz w:val="18"/>
                <w:szCs w:val="18"/>
              </w:rPr>
            </w:pPr>
          </w:p>
        </w:tc>
        <w:tc>
          <w:tcPr>
            <w:tcW w:w="121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73596" w:rsidRDefault="00573596" w:rsidP="00025CBB"/>
        </w:tc>
      </w:tr>
    </w:tbl>
    <w:p w:rsidR="003727D0" w:rsidRDefault="003727D0" w:rsidP="00D77222">
      <w:pPr>
        <w:pStyle w:val="Heading1"/>
      </w:pPr>
    </w:p>
    <w:p w:rsidR="003727D0" w:rsidRDefault="003727D0" w:rsidP="003727D0">
      <w:pPr>
        <w:rPr>
          <w:color w:val="0E3354"/>
          <w:sz w:val="28"/>
          <w:szCs w:val="28"/>
        </w:rPr>
      </w:pPr>
      <w:r>
        <w:br w:type="page"/>
      </w:r>
    </w:p>
    <w:p w:rsidR="00573596" w:rsidRPr="00D77222" w:rsidRDefault="00573596" w:rsidP="00D77222">
      <w:pPr>
        <w:pStyle w:val="Heading1"/>
      </w:pPr>
      <w:r>
        <w:lastRenderedPageBreak/>
        <w:t>SDE overall comments:</w:t>
      </w:r>
    </w:p>
    <w:p w:rsidR="00573596" w:rsidRPr="00271102" w:rsidRDefault="00573596" w:rsidP="00573596">
      <w:pPr>
        <w:pStyle w:val="BodyText"/>
        <w:rPr>
          <w:sz w:val="20"/>
          <w:szCs w:val="20"/>
        </w:rPr>
      </w:pPr>
    </w:p>
    <w:p w:rsidR="00573596" w:rsidRPr="00271102" w:rsidRDefault="00573596" w:rsidP="00573596">
      <w:pPr>
        <w:pStyle w:val="BodyText"/>
        <w:rPr>
          <w:sz w:val="20"/>
          <w:szCs w:val="20"/>
        </w:rPr>
      </w:pPr>
      <w:r w:rsidRPr="00271102">
        <w:rPr>
          <w:sz w:val="20"/>
          <w:szCs w:val="20"/>
        </w:rPr>
        <w:t xml:space="preserve">Dear </w:t>
      </w:r>
      <w:r w:rsidRPr="00271102">
        <w:rPr>
          <w:sz w:val="20"/>
          <w:szCs w:val="20"/>
          <w:highlight w:val="yellow"/>
        </w:rPr>
        <w:t>Superintendent/Administrator</w:t>
      </w:r>
      <w:r w:rsidRPr="00271102">
        <w:rPr>
          <w:sz w:val="20"/>
          <w:szCs w:val="20"/>
        </w:rPr>
        <w:t>:</w:t>
      </w:r>
    </w:p>
    <w:p w:rsidR="00573596" w:rsidRPr="00271102" w:rsidRDefault="00573596" w:rsidP="00573596">
      <w:pPr>
        <w:pStyle w:val="BodyText"/>
        <w:rPr>
          <w:sz w:val="20"/>
          <w:szCs w:val="20"/>
        </w:rPr>
      </w:pPr>
    </w:p>
    <w:p w:rsidR="00573596" w:rsidRPr="00271102" w:rsidRDefault="00573596" w:rsidP="00573596">
      <w:pPr>
        <w:tabs>
          <w:tab w:val="left" w:pos="0"/>
        </w:tabs>
        <w:spacing w:after="120" w:line="240" w:lineRule="atLeast"/>
        <w:ind w:right="720"/>
        <w:rPr>
          <w:sz w:val="20"/>
          <w:szCs w:val="20"/>
        </w:rPr>
      </w:pPr>
      <w:r w:rsidRPr="00271102">
        <w:rPr>
          <w:sz w:val="20"/>
          <w:szCs w:val="20"/>
        </w:rPr>
        <w:t xml:space="preserve">Thank you for assisting the Idaho State Department of Education (SDE) in the </w:t>
      </w:r>
      <w:r>
        <w:rPr>
          <w:sz w:val="20"/>
          <w:szCs w:val="20"/>
        </w:rPr>
        <w:t>ESSER</w:t>
      </w:r>
      <w:r w:rsidRPr="00271102">
        <w:rPr>
          <w:sz w:val="20"/>
          <w:szCs w:val="20"/>
        </w:rPr>
        <w:t xml:space="preserve"> Monitoring process for [</w:t>
      </w:r>
      <w:r>
        <w:rPr>
          <w:sz w:val="20"/>
          <w:szCs w:val="20"/>
          <w:highlight w:val="yellow"/>
        </w:rPr>
        <w:t>LEA’s</w:t>
      </w:r>
      <w:r w:rsidRPr="00271102">
        <w:rPr>
          <w:sz w:val="20"/>
          <w:szCs w:val="20"/>
          <w:highlight w:val="yellow"/>
        </w:rPr>
        <w:t xml:space="preserve"> name</w:t>
      </w:r>
      <w:r w:rsidRPr="00271102">
        <w:rPr>
          <w:sz w:val="20"/>
          <w:szCs w:val="20"/>
        </w:rPr>
        <w:t>].  This visit was conducted on [</w:t>
      </w:r>
      <w:r w:rsidRPr="00271102">
        <w:rPr>
          <w:sz w:val="20"/>
          <w:szCs w:val="20"/>
          <w:highlight w:val="yellow"/>
        </w:rPr>
        <w:t>monitoring date(s)</w:t>
      </w:r>
      <w:r w:rsidRPr="00271102">
        <w:rPr>
          <w:sz w:val="20"/>
          <w:szCs w:val="20"/>
        </w:rPr>
        <w:t xml:space="preserve">]. </w:t>
      </w:r>
    </w:p>
    <w:p w:rsidR="00573596" w:rsidRPr="00271102" w:rsidRDefault="00573596" w:rsidP="00573596">
      <w:pPr>
        <w:spacing w:after="120" w:line="240" w:lineRule="atLeast"/>
        <w:ind w:right="720"/>
        <w:rPr>
          <w:sz w:val="20"/>
          <w:szCs w:val="20"/>
        </w:rPr>
      </w:pPr>
      <w:r w:rsidRPr="00271102">
        <w:rPr>
          <w:sz w:val="20"/>
          <w:szCs w:val="20"/>
        </w:rPr>
        <w:t xml:space="preserve">The Final Report reflects information gathered from a review of program documentation. Recommendations and findings are included in the report.  Technical Assistance, such as contact information for a resource or a link to a sample, is offered where there are findings. Although the </w:t>
      </w:r>
      <w:r>
        <w:rPr>
          <w:sz w:val="20"/>
          <w:szCs w:val="20"/>
        </w:rPr>
        <w:t xml:space="preserve">LEA </w:t>
      </w:r>
      <w:r w:rsidRPr="00271102">
        <w:rPr>
          <w:sz w:val="20"/>
          <w:szCs w:val="20"/>
        </w:rPr>
        <w:t>is not required to formally respond to the recommendations, it is important to consider them.</w:t>
      </w:r>
    </w:p>
    <w:p w:rsidR="00573596" w:rsidRPr="00271102" w:rsidRDefault="00573596" w:rsidP="00573596">
      <w:pPr>
        <w:spacing w:after="120" w:line="240" w:lineRule="atLeast"/>
        <w:ind w:right="720"/>
        <w:rPr>
          <w:rFonts w:cs="Arial"/>
          <w:sz w:val="20"/>
          <w:szCs w:val="20"/>
        </w:rPr>
      </w:pPr>
      <w:r w:rsidRPr="00271102">
        <w:rPr>
          <w:rFonts w:cs="Arial"/>
          <w:sz w:val="20"/>
          <w:szCs w:val="20"/>
        </w:rPr>
        <w:t xml:space="preserve">Please respond, in writing, to the Findings and send the </w:t>
      </w:r>
      <w:r>
        <w:rPr>
          <w:rFonts w:cs="Arial"/>
          <w:sz w:val="20"/>
          <w:szCs w:val="20"/>
        </w:rPr>
        <w:t>LEA’s</w:t>
      </w:r>
      <w:r w:rsidRPr="00271102">
        <w:rPr>
          <w:rFonts w:cs="Arial"/>
          <w:sz w:val="20"/>
          <w:szCs w:val="20"/>
        </w:rPr>
        <w:t xml:space="preserve"> Response Report to</w:t>
      </w:r>
      <w:r>
        <w:rPr>
          <w:rFonts w:cs="Arial"/>
          <w:sz w:val="20"/>
          <w:szCs w:val="20"/>
        </w:rPr>
        <w:t xml:space="preserve"> Katie Watkins</w:t>
      </w:r>
      <w:r w:rsidRPr="00271102">
        <w:rPr>
          <w:rFonts w:cs="Arial"/>
          <w:sz w:val="20"/>
          <w:szCs w:val="20"/>
        </w:rPr>
        <w:t xml:space="preserve">, </w:t>
      </w:r>
      <w:hyperlink r:id="rId13" w:history="1">
        <w:r w:rsidRPr="00CE7879">
          <w:rPr>
            <w:rStyle w:val="Hyperlink"/>
            <w:color w:val="auto"/>
            <w:sz w:val="20"/>
            <w:szCs w:val="20"/>
          </w:rPr>
          <w:t>Pandemic Relief Funds Monitoring</w:t>
        </w:r>
      </w:hyperlink>
      <w:r w:rsidRPr="00CE7879">
        <w:rPr>
          <w:color w:val="auto"/>
          <w:sz w:val="20"/>
          <w:szCs w:val="20"/>
        </w:rPr>
        <w:t xml:space="preserve"> Coordinator</w:t>
      </w:r>
      <w:r w:rsidRPr="00271102">
        <w:rPr>
          <w:rFonts w:cs="Arial"/>
          <w:sz w:val="20"/>
          <w:szCs w:val="20"/>
        </w:rPr>
        <w:t>, by [</w:t>
      </w:r>
      <w:r w:rsidRPr="00271102">
        <w:rPr>
          <w:rFonts w:cs="Arial"/>
          <w:sz w:val="20"/>
          <w:szCs w:val="20"/>
          <w:highlight w:val="yellow"/>
        </w:rPr>
        <w:t>date about 30 days from the monitoring review</w:t>
      </w:r>
      <w:r w:rsidRPr="00271102">
        <w:rPr>
          <w:rFonts w:cs="Arial"/>
          <w:sz w:val="20"/>
          <w:szCs w:val="20"/>
        </w:rPr>
        <w:t xml:space="preserve">].  For the LEA Response Report, identify each finding and include specific documentation to satisfy the finding OR submit a Corrective Action Plan that includes 1) reference to the finding; 2) a specific measurable objective for satisfying the finding; 3) timeline(s); and 4) clear lines of responsibility.   Please do not hesitate to contact any of the program coordinators (see below) with questions as the </w:t>
      </w:r>
      <w:r>
        <w:rPr>
          <w:rFonts w:cs="Arial"/>
          <w:sz w:val="20"/>
          <w:szCs w:val="20"/>
        </w:rPr>
        <w:t xml:space="preserve">LEA’s </w:t>
      </w:r>
      <w:r w:rsidRPr="00271102">
        <w:rPr>
          <w:rFonts w:cs="Arial"/>
          <w:sz w:val="20"/>
          <w:szCs w:val="20"/>
        </w:rPr>
        <w:t xml:space="preserve">Response Report is prepared.  </w:t>
      </w:r>
    </w:p>
    <w:p w:rsidR="00573596" w:rsidRPr="00271102" w:rsidRDefault="00573596" w:rsidP="00573596">
      <w:pPr>
        <w:spacing w:after="120" w:line="240" w:lineRule="atLeast"/>
        <w:ind w:right="720"/>
        <w:rPr>
          <w:rFonts w:cs="Arial"/>
          <w:sz w:val="20"/>
          <w:szCs w:val="20"/>
        </w:rPr>
      </w:pPr>
      <w:r w:rsidRPr="00271102">
        <w:rPr>
          <w:rFonts w:cs="Arial"/>
          <w:sz w:val="20"/>
          <w:szCs w:val="20"/>
        </w:rPr>
        <w:t>If the LEA has comments about the monitoring process, the LEA is encouraged to contact, Federal Programs</w:t>
      </w:r>
      <w:r w:rsidR="00FE7C99">
        <w:rPr>
          <w:rFonts w:cs="Arial"/>
          <w:sz w:val="20"/>
          <w:szCs w:val="20"/>
        </w:rPr>
        <w:t xml:space="preserve"> </w:t>
      </w:r>
      <w:r w:rsidRPr="00271102">
        <w:rPr>
          <w:rFonts w:cs="Arial"/>
          <w:sz w:val="20"/>
          <w:szCs w:val="20"/>
        </w:rPr>
        <w:t>Director,</w:t>
      </w:r>
      <w:r>
        <w:rPr>
          <w:rFonts w:cs="Arial"/>
          <w:sz w:val="20"/>
          <w:szCs w:val="20"/>
        </w:rPr>
        <w:t xml:space="preserve"> </w:t>
      </w:r>
      <w:r w:rsidR="00FE7C99">
        <w:rPr>
          <w:rFonts w:cs="Arial"/>
          <w:sz w:val="20"/>
          <w:szCs w:val="20"/>
        </w:rPr>
        <w:t>Josh Noteboom</w:t>
      </w:r>
      <w:r>
        <w:rPr>
          <w:rFonts w:cs="Arial"/>
          <w:sz w:val="20"/>
          <w:szCs w:val="20"/>
        </w:rPr>
        <w:t>,</w:t>
      </w:r>
      <w:r w:rsidRPr="00271102">
        <w:rPr>
          <w:rFonts w:cs="Arial"/>
          <w:sz w:val="20"/>
          <w:szCs w:val="20"/>
        </w:rPr>
        <w:t xml:space="preserve"> at </w:t>
      </w:r>
      <w:hyperlink r:id="rId14" w:history="1">
        <w:r w:rsidR="00FE7C99" w:rsidRPr="00B875A5">
          <w:rPr>
            <w:rStyle w:val="Hyperlink"/>
            <w:rFonts w:cs="Arial"/>
            <w:sz w:val="20"/>
            <w:szCs w:val="20"/>
          </w:rPr>
          <w:t>jnoteboom@sde.idaho.gov</w:t>
        </w:r>
      </w:hyperlink>
      <w:r w:rsidR="00FE7C99">
        <w:rPr>
          <w:rFonts w:cs="Arial"/>
          <w:sz w:val="20"/>
          <w:szCs w:val="20"/>
        </w:rPr>
        <w:t xml:space="preserve"> </w:t>
      </w:r>
      <w:r>
        <w:rPr>
          <w:rFonts w:cs="Arial"/>
          <w:sz w:val="20"/>
          <w:szCs w:val="20"/>
        </w:rPr>
        <w:t xml:space="preserve"> </w:t>
      </w:r>
      <w:r w:rsidRPr="00271102">
        <w:rPr>
          <w:rFonts w:cs="Arial"/>
          <w:sz w:val="20"/>
          <w:szCs w:val="20"/>
        </w:rPr>
        <w:t>or at 208.332.</w:t>
      </w:r>
      <w:r w:rsidR="00FE7C99">
        <w:rPr>
          <w:rFonts w:cs="Arial"/>
          <w:sz w:val="20"/>
          <w:szCs w:val="20"/>
        </w:rPr>
        <w:t>6893.</w:t>
      </w:r>
      <w:r w:rsidRPr="00271102">
        <w:rPr>
          <w:rFonts w:cs="Arial"/>
          <w:sz w:val="20"/>
          <w:szCs w:val="20"/>
        </w:rPr>
        <w:t xml:space="preserve">  </w:t>
      </w:r>
    </w:p>
    <w:p w:rsidR="00573596" w:rsidRPr="00271102" w:rsidRDefault="00573596" w:rsidP="00573596">
      <w:pPr>
        <w:spacing w:after="120"/>
        <w:ind w:right="720"/>
        <w:rPr>
          <w:sz w:val="20"/>
          <w:szCs w:val="20"/>
        </w:rPr>
      </w:pPr>
      <w:r w:rsidRPr="00271102">
        <w:rPr>
          <w:sz w:val="20"/>
          <w:szCs w:val="20"/>
        </w:rPr>
        <w:t xml:space="preserve">Thank you for the cooperation and assistance your </w:t>
      </w:r>
      <w:r>
        <w:rPr>
          <w:sz w:val="20"/>
          <w:szCs w:val="20"/>
        </w:rPr>
        <w:t>LEA</w:t>
      </w:r>
      <w:r w:rsidRPr="00271102">
        <w:rPr>
          <w:sz w:val="20"/>
          <w:szCs w:val="20"/>
        </w:rPr>
        <w:t xml:space="preserve"> provided the reviewers during the program monitoring.  It is in this spirit of support that SDE submits this Final Report.  It is our sincere desire that through cooperative assessment of the federal programs, the quality of services to academically at-risk students are strengthened.</w:t>
      </w:r>
    </w:p>
    <w:p w:rsidR="00573596" w:rsidRPr="00271102" w:rsidRDefault="00573596" w:rsidP="00573596">
      <w:pPr>
        <w:spacing w:line="240" w:lineRule="atLeast"/>
        <w:ind w:right="720"/>
        <w:rPr>
          <w:rFonts w:cs="Arial"/>
          <w:sz w:val="20"/>
          <w:szCs w:val="20"/>
        </w:rPr>
      </w:pPr>
      <w:r w:rsidRPr="00271102">
        <w:rPr>
          <w:rFonts w:cs="Arial"/>
          <w:sz w:val="20"/>
          <w:szCs w:val="20"/>
        </w:rPr>
        <w:t>Sincerely,</w:t>
      </w:r>
    </w:p>
    <w:p w:rsidR="00573596" w:rsidRDefault="00573596" w:rsidP="00573596">
      <w:pPr>
        <w:spacing w:line="240" w:lineRule="atLeast"/>
        <w:ind w:right="720"/>
        <w:rPr>
          <w:rFonts w:cs="Arial"/>
          <w:sz w:val="20"/>
          <w:szCs w:val="20"/>
        </w:rPr>
      </w:pPr>
      <w:r w:rsidRPr="00271102">
        <w:rPr>
          <w:rFonts w:cs="Arial"/>
          <w:sz w:val="20"/>
          <w:szCs w:val="20"/>
        </w:rPr>
        <w:t>[</w:t>
      </w:r>
      <w:r w:rsidRPr="00271102">
        <w:rPr>
          <w:rFonts w:cs="Arial"/>
          <w:sz w:val="20"/>
          <w:szCs w:val="20"/>
          <w:highlight w:val="yellow"/>
        </w:rPr>
        <w:t>name of SDE or Contract Reviewer Team Lead</w:t>
      </w:r>
      <w:r w:rsidRPr="00271102">
        <w:rPr>
          <w:rFonts w:cs="Arial"/>
          <w:sz w:val="20"/>
          <w:szCs w:val="20"/>
        </w:rPr>
        <w:t>]</w:t>
      </w:r>
    </w:p>
    <w:p w:rsidR="00573596" w:rsidRPr="00F37D5B" w:rsidRDefault="00573596" w:rsidP="00573596">
      <w:pPr>
        <w:spacing w:line="240" w:lineRule="atLeast"/>
        <w:ind w:right="720"/>
        <w:rPr>
          <w:rFonts w:cs="Arial"/>
          <w:sz w:val="20"/>
          <w:szCs w:val="20"/>
        </w:rPr>
      </w:pPr>
      <w:r w:rsidRPr="00271102">
        <w:rPr>
          <w:rFonts w:cs="Arial"/>
          <w:sz w:val="20"/>
          <w:szCs w:val="20"/>
        </w:rPr>
        <w:t xml:space="preserve">Cc: </w:t>
      </w:r>
      <w:r w:rsidR="00FE7C99">
        <w:rPr>
          <w:rFonts w:cs="Arial"/>
          <w:sz w:val="20"/>
          <w:szCs w:val="20"/>
        </w:rPr>
        <w:t>Josh Noteboom</w:t>
      </w:r>
    </w:p>
    <w:p w:rsidR="00573596" w:rsidRDefault="00573596" w:rsidP="00573596">
      <w:pPr>
        <w:pStyle w:val="NoSpacing"/>
        <w:rPr>
          <w:b/>
          <w:sz w:val="20"/>
          <w:szCs w:val="20"/>
        </w:rPr>
      </w:pPr>
      <w:r>
        <w:rPr>
          <w:b/>
          <w:sz w:val="20"/>
          <w:szCs w:val="20"/>
        </w:rPr>
        <w:t>SDE Federal Programs monitoring team:</w:t>
      </w:r>
    </w:p>
    <w:p w:rsidR="00573596" w:rsidRPr="00CE7879" w:rsidRDefault="00573596" w:rsidP="00573596">
      <w:pPr>
        <w:pStyle w:val="NoSpacing"/>
        <w:rPr>
          <w:b/>
          <w:color w:val="auto"/>
          <w:sz w:val="20"/>
          <w:szCs w:val="20"/>
        </w:rPr>
      </w:pPr>
    </w:p>
    <w:p w:rsidR="00573596" w:rsidRPr="006B1BC0" w:rsidRDefault="00573596" w:rsidP="006B1BC0">
      <w:pPr>
        <w:spacing w:line="240" w:lineRule="atLeast"/>
        <w:ind w:right="720"/>
        <w:rPr>
          <w:b/>
          <w:bCs/>
          <w:sz w:val="20"/>
          <w:szCs w:val="20"/>
        </w:rPr>
      </w:pPr>
      <w:r w:rsidRPr="00897A45">
        <w:rPr>
          <w:color w:val="262626" w:themeColor="text1"/>
          <w:sz w:val="20"/>
          <w:szCs w:val="20"/>
        </w:rPr>
        <w:t>Pandemic Relief Funds Coordinator - Lisa English: 208.332.6911</w:t>
      </w:r>
      <w:r w:rsidRPr="00897A45">
        <w:rPr>
          <w:b/>
          <w:bCs/>
          <w:color w:val="262626" w:themeColor="text1"/>
          <w:sz w:val="20"/>
          <w:szCs w:val="20"/>
        </w:rPr>
        <w:t xml:space="preserve"> </w:t>
      </w:r>
      <w:r w:rsidRPr="00897A45">
        <w:rPr>
          <w:color w:val="262626" w:themeColor="text1"/>
          <w:sz w:val="20"/>
          <w:szCs w:val="20"/>
        </w:rPr>
        <w:t xml:space="preserve">or </w:t>
      </w:r>
      <w:hyperlink r:id="rId15" w:history="1">
        <w:r w:rsidRPr="00EC09EC">
          <w:rPr>
            <w:rStyle w:val="Hyperlink"/>
            <w:sz w:val="20"/>
            <w:szCs w:val="20"/>
          </w:rPr>
          <w:t>lenglish@sde.idaho.gov</w:t>
        </w:r>
      </w:hyperlink>
      <w:r w:rsidR="006B1BC0">
        <w:rPr>
          <w:b/>
          <w:bCs/>
          <w:sz w:val="20"/>
          <w:szCs w:val="20"/>
        </w:rPr>
        <w:br/>
      </w:r>
      <w:hyperlink r:id="rId16" w:history="1">
        <w:r w:rsidR="006B1BC0" w:rsidRPr="00F666C4">
          <w:rPr>
            <w:rStyle w:val="Hyperlink"/>
            <w:color w:val="262626" w:themeColor="text1"/>
            <w:sz w:val="20"/>
            <w:szCs w:val="20"/>
            <w:u w:val="none"/>
          </w:rPr>
          <w:t>Pandemic</w:t>
        </w:r>
      </w:hyperlink>
      <w:r w:rsidRPr="00F666C4">
        <w:rPr>
          <w:rStyle w:val="Hyperlink"/>
          <w:color w:val="262626" w:themeColor="text1"/>
          <w:sz w:val="20"/>
          <w:szCs w:val="20"/>
          <w:u w:val="none"/>
        </w:rPr>
        <w:t xml:space="preserve"> Relief Funds Data Coordinator</w:t>
      </w:r>
      <w:r w:rsidRPr="00897A45">
        <w:rPr>
          <w:color w:val="262626" w:themeColor="text1"/>
          <w:sz w:val="20"/>
          <w:szCs w:val="20"/>
        </w:rPr>
        <w:t xml:space="preserve"> - Aaron Kennedy:  208.332.6847 or</w:t>
      </w:r>
      <w:r>
        <w:rPr>
          <w:sz w:val="20"/>
          <w:szCs w:val="20"/>
        </w:rPr>
        <w:t xml:space="preserve"> </w:t>
      </w:r>
      <w:hyperlink r:id="rId17" w:history="1">
        <w:r w:rsidRPr="00EC09EC">
          <w:rPr>
            <w:rStyle w:val="Hyperlink"/>
            <w:sz w:val="20"/>
            <w:szCs w:val="20"/>
          </w:rPr>
          <w:t>akennedy@sde.idaho.gov</w:t>
        </w:r>
      </w:hyperlink>
      <w:r>
        <w:rPr>
          <w:sz w:val="20"/>
          <w:szCs w:val="20"/>
        </w:rPr>
        <w:t xml:space="preserve"> </w:t>
      </w:r>
      <w:r w:rsidR="006B1BC0">
        <w:rPr>
          <w:b/>
          <w:bCs/>
          <w:sz w:val="20"/>
          <w:szCs w:val="20"/>
        </w:rPr>
        <w:br/>
      </w:r>
      <w:r w:rsidRPr="00897A45">
        <w:rPr>
          <w:rFonts w:cs="Calibri"/>
          <w:color w:val="262626" w:themeColor="text1"/>
          <w:sz w:val="20"/>
          <w:szCs w:val="20"/>
        </w:rPr>
        <w:t>Federal Programs Director —</w:t>
      </w:r>
      <w:r w:rsidR="00FE7C99">
        <w:rPr>
          <w:rFonts w:cs="Calibri"/>
          <w:color w:val="262626" w:themeColor="text1"/>
          <w:sz w:val="20"/>
          <w:szCs w:val="20"/>
        </w:rPr>
        <w:t>Josh Noteboom</w:t>
      </w:r>
      <w:r w:rsidRPr="00897A45">
        <w:rPr>
          <w:rFonts w:cs="Calibri"/>
          <w:color w:val="262626" w:themeColor="text1"/>
          <w:sz w:val="20"/>
          <w:szCs w:val="20"/>
        </w:rPr>
        <w:t>: 208-332-68</w:t>
      </w:r>
      <w:r w:rsidR="00FE7C99">
        <w:rPr>
          <w:rFonts w:cs="Calibri"/>
          <w:color w:val="262626" w:themeColor="text1"/>
          <w:sz w:val="20"/>
          <w:szCs w:val="20"/>
        </w:rPr>
        <w:t>93</w:t>
      </w:r>
      <w:r w:rsidRPr="00897A45">
        <w:rPr>
          <w:rFonts w:cs="Calibri"/>
          <w:color w:val="262626" w:themeColor="text1"/>
          <w:sz w:val="20"/>
          <w:szCs w:val="20"/>
        </w:rPr>
        <w:t xml:space="preserve"> or </w:t>
      </w:r>
      <w:hyperlink r:id="rId18" w:history="1">
        <w:r w:rsidR="00FE7C99" w:rsidRPr="00B875A5">
          <w:rPr>
            <w:rStyle w:val="Hyperlink"/>
            <w:rFonts w:cs="Calibri"/>
            <w:sz w:val="20"/>
            <w:szCs w:val="20"/>
          </w:rPr>
          <w:t>jnoteboom@sde.idaho.gov</w:t>
        </w:r>
      </w:hyperlink>
    </w:p>
    <w:p w:rsidR="000E51BA" w:rsidRPr="00BE25AF" w:rsidRDefault="003727D0" w:rsidP="000E51BA">
      <w:pPr>
        <w:pStyle w:val="Contact"/>
      </w:pPr>
      <w:r>
        <w:lastRenderedPageBreak/>
        <w:t>Lisa English</w:t>
      </w:r>
    </w:p>
    <w:p w:rsidR="000E51BA" w:rsidRDefault="006606C2" w:rsidP="000E51BA">
      <w:pPr>
        <w:spacing w:after="0" w:line="240" w:lineRule="auto"/>
      </w:pPr>
      <w:r>
        <w:t>Federal Programs</w:t>
      </w:r>
    </w:p>
    <w:p w:rsidR="000E51BA" w:rsidRDefault="000E51BA" w:rsidP="000E51BA">
      <w:pPr>
        <w:spacing w:after="0" w:line="240" w:lineRule="auto"/>
      </w:pPr>
      <w:r>
        <w:t>Idaho State Department of Education</w:t>
      </w:r>
    </w:p>
    <w:p w:rsidR="000E51BA" w:rsidRDefault="000E51BA" w:rsidP="000E51BA">
      <w:pPr>
        <w:spacing w:after="0" w:line="240" w:lineRule="auto"/>
      </w:pPr>
      <w:r>
        <w:t>650 W State Street, Boise, ID 83702</w:t>
      </w:r>
    </w:p>
    <w:p w:rsidR="000E51BA" w:rsidRPr="00033CD6" w:rsidRDefault="000E51BA" w:rsidP="001E11B1">
      <w:pPr>
        <w:spacing w:after="0" w:line="240" w:lineRule="auto"/>
      </w:pPr>
      <w:r>
        <w:t>208 332 6</w:t>
      </w:r>
      <w:r w:rsidR="006606C2">
        <w:t>9</w:t>
      </w:r>
      <w:r w:rsidR="003727D0">
        <w:t>11</w:t>
      </w:r>
      <w:r>
        <w:t xml:space="preserve"> | </w:t>
      </w:r>
      <w:r w:rsidR="003727D0">
        <w:t>lenglish</w:t>
      </w:r>
      <w:r w:rsidR="001177B9">
        <w:t>@sde.idaho.gov</w:t>
      </w:r>
    </w:p>
    <w:sectPr w:rsidR="000E51BA" w:rsidRPr="00033CD6" w:rsidSect="00824793">
      <w:footerReference w:type="default" r:id="rId19"/>
      <w:headerReference w:type="first" r:id="rId20"/>
      <w:footerReference w:type="first" r:id="rId21"/>
      <w:pgSz w:w="15840" w:h="12240" w:orient="landscape" w:code="1"/>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7772" w:rsidRDefault="005D7772">
      <w:pPr>
        <w:spacing w:after="0" w:line="240" w:lineRule="auto"/>
      </w:pPr>
      <w:r>
        <w:separator/>
      </w:r>
    </w:p>
  </w:endnote>
  <w:endnote w:type="continuationSeparator" w:id="0">
    <w:p w:rsidR="005D7772" w:rsidRDefault="005D7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Open Sans Extrabold">
    <w:altName w:val="Segoe UI Semibold"/>
    <w:charset w:val="00"/>
    <w:family w:val="swiss"/>
    <w:pitch w:val="variable"/>
    <w:sig w:usb0="E00002EF" w:usb1="4000205B" w:usb2="00000028" w:usb3="00000000" w:csb0="0000019F" w:csb1="00000000"/>
  </w:font>
  <w:font w:name="Merriweather">
    <w:altName w:val="Cambria Math"/>
    <w:charset w:val="00"/>
    <w:family w:val="roman"/>
    <w:pitch w:val="variable"/>
    <w:sig w:usb0="00000003" w:usb1="5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0CF" w:rsidRPr="00132C9E" w:rsidRDefault="00A903D1" w:rsidP="00D550CF">
    <w:pPr>
      <w:pStyle w:val="Footer"/>
      <w:pBdr>
        <w:top w:val="single" w:sz="4" w:space="1" w:color="5C5C5C" w:themeColor="text1" w:themeTint="BF"/>
      </w:pBdr>
      <w:rPr>
        <w:rFonts w:ascii="Calibri" w:hAnsi="Calibri"/>
        <w:color w:val="5C5C5C" w:themeColor="text1" w:themeTint="BF"/>
      </w:rPr>
    </w:pPr>
    <w:r>
      <w:rPr>
        <w:rFonts w:ascii="Calibri" w:hAnsi="Calibri" w:cs="Open Sans"/>
        <w:caps/>
        <w:color w:val="5C5C5C" w:themeColor="text1" w:themeTint="BF"/>
      </w:rPr>
      <w:t>revised</w:t>
    </w:r>
    <w:r w:rsidR="00FE7C99">
      <w:rPr>
        <w:rFonts w:ascii="Calibri" w:hAnsi="Calibri" w:cs="Open Sans"/>
        <w:caps/>
        <w:color w:val="5C5C5C" w:themeColor="text1" w:themeTint="BF"/>
      </w:rPr>
      <w:t xml:space="preserve"> </w:t>
    </w:r>
    <w:r w:rsidR="00256027">
      <w:rPr>
        <w:rFonts w:ascii="Calibri" w:hAnsi="Calibri" w:cs="Open Sans"/>
        <w:caps/>
        <w:color w:val="5C5C5C" w:themeColor="text1" w:themeTint="BF"/>
      </w:rPr>
      <w:t>8/28</w:t>
    </w:r>
    <w:r w:rsidR="003727D0">
      <w:rPr>
        <w:rFonts w:ascii="Calibri" w:hAnsi="Calibri" w:cs="Open Sans"/>
        <w:caps/>
        <w:color w:val="5C5C5C" w:themeColor="text1" w:themeTint="BF"/>
      </w:rPr>
      <w:t>/2024</w:t>
    </w:r>
    <w:r w:rsidR="00D550CF" w:rsidRPr="00132C9E">
      <w:rPr>
        <w:rFonts w:ascii="Calibri" w:hAnsi="Calibri"/>
        <w:color w:val="5C5C5C" w:themeColor="text1" w:themeTint="BF"/>
      </w:rPr>
      <w:ptab w:relativeTo="margin" w:alignment="right" w:leader="none"/>
    </w:r>
    <w:r w:rsidR="006606C2">
      <w:rPr>
        <w:rFonts w:ascii="Calibri" w:hAnsi="Calibri" w:cs="Open Sans Semibold"/>
        <w:color w:val="112845" w:themeColor="text2" w:themeShade="BF"/>
      </w:rPr>
      <w:t>ESSER Monitoring Tool LEAS</w:t>
    </w:r>
    <w:r w:rsidR="00D550CF">
      <w:rPr>
        <w:rFonts w:ascii="Calibri" w:hAnsi="Calibri" w:cs="Open Sans Semibold"/>
        <w:color w:val="112845" w:themeColor="text2" w:themeShade="BF"/>
      </w:rPr>
      <w:t xml:space="preserve">  </w:t>
    </w:r>
    <w:r w:rsidR="00D550CF">
      <w:rPr>
        <w:rFonts w:ascii="Calibri" w:hAnsi="Calibri" w:cs="Open Sans"/>
        <w:color w:val="5C5C5C" w:themeColor="text1" w:themeTint="BF"/>
      </w:rPr>
      <w:t xml:space="preserve">/ </w:t>
    </w:r>
    <w:r w:rsidR="00D550CF" w:rsidRPr="00132C9E">
      <w:rPr>
        <w:rFonts w:ascii="Calibri" w:hAnsi="Calibri" w:cs="Open Sans"/>
        <w:color w:val="5C5C5C" w:themeColor="text1" w:themeTint="BF"/>
      </w:rPr>
      <w:t xml:space="preserve"> </w:t>
    </w:r>
    <w:r w:rsidR="006606C2">
      <w:rPr>
        <w:rFonts w:ascii="Calibri" w:hAnsi="Calibri" w:cs="Open Sans"/>
        <w:color w:val="5C5C5C" w:themeColor="text1" w:themeTint="BF"/>
      </w:rPr>
      <w:t>Federal Programs</w:t>
    </w:r>
    <w:r w:rsidR="00D550CF" w:rsidRPr="00132C9E">
      <w:rPr>
        <w:rFonts w:ascii="Calibri" w:hAnsi="Calibri" w:cs="Open Sans"/>
        <w:color w:val="5C5C5C" w:themeColor="text1" w:themeTint="BF"/>
      </w:rPr>
      <w:t xml:space="preserve"> </w:t>
    </w:r>
    <w:r w:rsidR="00D550CF">
      <w:rPr>
        <w:rFonts w:ascii="Calibri" w:hAnsi="Calibri" w:cs="Open Sans"/>
        <w:color w:val="5C5C5C" w:themeColor="text1" w:themeTint="BF"/>
      </w:rPr>
      <w:t xml:space="preserve"> / </w:t>
    </w:r>
    <w:r w:rsidR="00D550CF" w:rsidRPr="00132C9E">
      <w:rPr>
        <w:rFonts w:ascii="Calibri" w:hAnsi="Calibri" w:cs="Open Sans"/>
        <w:color w:val="5C5C5C" w:themeColor="text1" w:themeTint="BF"/>
      </w:rPr>
      <w:t xml:space="preserve"> </w:t>
    </w:r>
    <w:r w:rsidR="00D550CF">
      <w:rPr>
        <w:rFonts w:ascii="Calibri" w:hAnsi="Calibri" w:cs="Open Sans"/>
        <w:color w:val="5C5C5C" w:themeColor="text1" w:themeTint="BF"/>
      </w:rPr>
      <w:t>SDE</w:t>
    </w:r>
    <w:r w:rsidR="00D550CF" w:rsidRPr="00132C9E">
      <w:rPr>
        <w:rFonts w:ascii="Calibri" w:hAnsi="Calibri" w:cs="Open Sans"/>
        <w:color w:val="5C5C5C" w:themeColor="text1" w:themeTint="BF"/>
      </w:rPr>
      <w:t xml:space="preserve"> </w:t>
    </w:r>
    <w:r w:rsidR="00D550CF">
      <w:rPr>
        <w:rFonts w:ascii="Calibri" w:hAnsi="Calibri" w:cs="Open Sans"/>
        <w:color w:val="5C5C5C" w:themeColor="text1" w:themeTint="BF"/>
      </w:rPr>
      <w:t xml:space="preserve"> / </w:t>
    </w:r>
    <w:r w:rsidR="00D550CF" w:rsidRPr="00132C9E">
      <w:rPr>
        <w:rFonts w:ascii="Calibri" w:hAnsi="Calibri" w:cs="Open Sans"/>
        <w:color w:val="5C5C5C" w:themeColor="text1" w:themeTint="BF"/>
      </w:rPr>
      <w:t xml:space="preserve"> </w:t>
    </w:r>
    <w:r w:rsidR="00D550CF" w:rsidRPr="00132C9E">
      <w:rPr>
        <w:rFonts w:ascii="Calibri" w:hAnsi="Calibri" w:cs="Open Sans Semibold"/>
        <w:noProof w:val="0"/>
        <w:color w:val="112845" w:themeColor="text2" w:themeShade="BF"/>
      </w:rPr>
      <w:fldChar w:fldCharType="begin"/>
    </w:r>
    <w:r w:rsidR="00D550CF" w:rsidRPr="00132C9E">
      <w:rPr>
        <w:rFonts w:ascii="Calibri" w:hAnsi="Calibri" w:cs="Open Sans Semibold"/>
        <w:color w:val="112845" w:themeColor="text2" w:themeShade="BF"/>
      </w:rPr>
      <w:instrText xml:space="preserve"> PAGE   \* MERGEFORMAT </w:instrText>
    </w:r>
    <w:r w:rsidR="00D550CF" w:rsidRPr="00132C9E">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4</w:t>
    </w:r>
    <w:r w:rsidR="00D550CF" w:rsidRPr="00132C9E">
      <w:rPr>
        <w:rFonts w:ascii="Calibri" w:hAnsi="Calibri" w:cs="Open Sans Semibold"/>
        <w:color w:val="112845" w:themeColor="text2" w:themeShade="BF"/>
      </w:rPr>
      <w:fldChar w:fldCharType="end"/>
    </w:r>
    <w:r w:rsidR="00D550CF" w:rsidRPr="00132C9E">
      <w:rPr>
        <w:rFonts w:ascii="Calibri" w:hAnsi="Calibri" w:cs="Open Sans Extrabold"/>
        <w:color w:val="5C5C5C" w:themeColor="text1" w:themeTint="BF"/>
      </w:rPr>
      <w:t xml:space="preserve"> </w:t>
    </w:r>
  </w:p>
  <w:p w:rsidR="00F94D3A" w:rsidRPr="00D96187" w:rsidRDefault="00F94D3A"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881" w:rsidRPr="00132C9E" w:rsidRDefault="00A903D1" w:rsidP="006B5881">
    <w:pPr>
      <w:pStyle w:val="Footer"/>
      <w:pBdr>
        <w:top w:val="single" w:sz="4" w:space="1" w:color="5C5C5C" w:themeColor="text1" w:themeTint="BF"/>
      </w:pBdr>
      <w:rPr>
        <w:rFonts w:ascii="Calibri" w:hAnsi="Calibri"/>
        <w:color w:val="5C5C5C" w:themeColor="text1" w:themeTint="BF"/>
      </w:rPr>
    </w:pPr>
    <w:r>
      <w:rPr>
        <w:rFonts w:ascii="Calibri" w:hAnsi="Calibri" w:cs="Open Sans"/>
        <w:caps/>
        <w:color w:val="5C5C5C" w:themeColor="text1" w:themeTint="BF"/>
      </w:rPr>
      <w:t xml:space="preserve">Revised </w:t>
    </w:r>
    <w:r w:rsidR="00256027">
      <w:rPr>
        <w:rFonts w:ascii="Calibri" w:hAnsi="Calibri" w:cs="Open Sans"/>
        <w:caps/>
        <w:color w:val="5C5C5C" w:themeColor="text1" w:themeTint="BF"/>
      </w:rPr>
      <w:t>8/28</w:t>
    </w:r>
    <w:r w:rsidR="003727D0">
      <w:rPr>
        <w:rFonts w:ascii="Calibri" w:hAnsi="Calibri" w:cs="Open Sans"/>
        <w:caps/>
        <w:color w:val="5C5C5C" w:themeColor="text1" w:themeTint="BF"/>
      </w:rPr>
      <w:t>/2024</w:t>
    </w:r>
    <w:r w:rsidR="006B5881" w:rsidRPr="00132C9E">
      <w:rPr>
        <w:rFonts w:ascii="Calibri" w:hAnsi="Calibri"/>
        <w:color w:val="5C5C5C" w:themeColor="text1" w:themeTint="BF"/>
      </w:rPr>
      <w:ptab w:relativeTo="margin" w:alignment="right" w:leader="none"/>
    </w:r>
    <w:r w:rsidR="006606C2">
      <w:rPr>
        <w:rFonts w:ascii="Calibri" w:hAnsi="Calibri" w:cs="Open Sans Semibold"/>
        <w:color w:val="112845" w:themeColor="text2" w:themeShade="BF"/>
      </w:rPr>
      <w:t>ESSER Monitoring Tool LEAS</w:t>
    </w:r>
    <w:r w:rsidR="006B5881">
      <w:rPr>
        <w:rFonts w:ascii="Calibri" w:hAnsi="Calibri" w:cs="Open Sans Semibold"/>
        <w:color w:val="112845" w:themeColor="text2" w:themeShade="BF"/>
      </w:rPr>
      <w:t xml:space="preserve">  </w:t>
    </w:r>
    <w:r w:rsidR="006B5881">
      <w:rPr>
        <w:rFonts w:ascii="Calibri" w:hAnsi="Calibri" w:cs="Open Sans"/>
        <w:color w:val="5C5C5C" w:themeColor="text1" w:themeTint="BF"/>
      </w:rPr>
      <w:t xml:space="preserve">/ </w:t>
    </w:r>
    <w:r w:rsidR="006B5881" w:rsidRPr="00132C9E">
      <w:rPr>
        <w:rFonts w:ascii="Calibri" w:hAnsi="Calibri" w:cs="Open Sans"/>
        <w:color w:val="5C5C5C" w:themeColor="text1" w:themeTint="BF"/>
      </w:rPr>
      <w:t xml:space="preserve"> </w:t>
    </w:r>
    <w:r w:rsidR="006606C2">
      <w:rPr>
        <w:rFonts w:ascii="Calibri" w:hAnsi="Calibri" w:cs="Open Sans"/>
        <w:color w:val="5C5C5C" w:themeColor="text1" w:themeTint="BF"/>
      </w:rPr>
      <w:t>Federal Programs</w:t>
    </w:r>
    <w:r w:rsidR="006B5881">
      <w:rPr>
        <w:rFonts w:ascii="Calibri" w:hAnsi="Calibri" w:cs="Open Sans"/>
        <w:color w:val="5C5C5C" w:themeColor="text1" w:themeTint="BF"/>
      </w:rPr>
      <w:t xml:space="preserve"> / </w:t>
    </w:r>
    <w:r w:rsidR="006B5881" w:rsidRPr="00132C9E">
      <w:rPr>
        <w:rFonts w:ascii="Calibri" w:hAnsi="Calibri" w:cs="Open Sans"/>
        <w:color w:val="5C5C5C" w:themeColor="text1" w:themeTint="BF"/>
      </w:rPr>
      <w:t xml:space="preserve"> </w:t>
    </w:r>
    <w:r w:rsidR="006B5881">
      <w:rPr>
        <w:rFonts w:ascii="Calibri" w:hAnsi="Calibri" w:cs="Open Sans"/>
        <w:color w:val="5C5C5C" w:themeColor="text1" w:themeTint="BF"/>
      </w:rPr>
      <w:t>SDE</w:t>
    </w:r>
    <w:r w:rsidR="006B5881" w:rsidRPr="00132C9E">
      <w:rPr>
        <w:rFonts w:ascii="Calibri" w:hAnsi="Calibri" w:cs="Open Sans"/>
        <w:color w:val="5C5C5C" w:themeColor="text1" w:themeTint="BF"/>
      </w:rPr>
      <w:t xml:space="preserve"> </w:t>
    </w:r>
    <w:r w:rsidR="006B5881">
      <w:rPr>
        <w:rFonts w:ascii="Calibri" w:hAnsi="Calibri" w:cs="Open Sans"/>
        <w:color w:val="5C5C5C" w:themeColor="text1" w:themeTint="BF"/>
      </w:rPr>
      <w:t xml:space="preserve"> / </w:t>
    </w:r>
    <w:r w:rsidR="006B5881" w:rsidRPr="00132C9E">
      <w:rPr>
        <w:rFonts w:ascii="Calibri" w:hAnsi="Calibri" w:cs="Open Sans"/>
        <w:color w:val="5C5C5C" w:themeColor="text1" w:themeTint="BF"/>
      </w:rPr>
      <w:t xml:space="preserve"> </w:t>
    </w:r>
    <w:r w:rsidR="006B5881" w:rsidRPr="00132C9E">
      <w:rPr>
        <w:rFonts w:ascii="Calibri" w:hAnsi="Calibri" w:cs="Open Sans Semibold"/>
        <w:noProof w:val="0"/>
        <w:color w:val="112845" w:themeColor="text2" w:themeShade="BF"/>
      </w:rPr>
      <w:fldChar w:fldCharType="begin"/>
    </w:r>
    <w:r w:rsidR="006B5881" w:rsidRPr="00132C9E">
      <w:rPr>
        <w:rFonts w:ascii="Calibri" w:hAnsi="Calibri" w:cs="Open Sans Semibold"/>
        <w:color w:val="112845" w:themeColor="text2" w:themeShade="BF"/>
      </w:rPr>
      <w:instrText xml:space="preserve"> PAGE   \* MERGEFORMAT </w:instrText>
    </w:r>
    <w:r w:rsidR="006B5881" w:rsidRPr="00132C9E">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1</w:t>
    </w:r>
    <w:r w:rsidR="006B5881" w:rsidRPr="00132C9E">
      <w:rPr>
        <w:rFonts w:ascii="Calibri" w:hAnsi="Calibri" w:cs="Open Sans Semibold"/>
        <w:color w:val="112845" w:themeColor="text2" w:themeShade="BF"/>
      </w:rPr>
      <w:fldChar w:fldCharType="end"/>
    </w:r>
    <w:r w:rsidR="006B5881" w:rsidRPr="00132C9E">
      <w:rPr>
        <w:rFonts w:ascii="Calibri" w:hAnsi="Calibri" w:cs="Open Sans Extrabold"/>
        <w:color w:val="5C5C5C" w:themeColor="text1" w:themeTint="BF"/>
      </w:rPr>
      <w:t xml:space="preserve"> </w:t>
    </w:r>
  </w:p>
  <w:p w:rsidR="008C6AA4" w:rsidRPr="006B5881" w:rsidRDefault="008C6AA4"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7772" w:rsidRDefault="005D7772">
      <w:pPr>
        <w:spacing w:after="0" w:line="240" w:lineRule="auto"/>
      </w:pPr>
      <w:r>
        <w:separator/>
      </w:r>
    </w:p>
  </w:footnote>
  <w:footnote w:type="continuationSeparator" w:id="0">
    <w:p w:rsidR="005D7772" w:rsidRDefault="005D7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F5D" w:rsidRDefault="009B4882" w:rsidP="00032F5D">
    <w:pPr>
      <w:pStyle w:val="Header"/>
      <w:jc w:val="right"/>
    </w:pPr>
    <w:r>
      <w:rPr>
        <w:rFonts w:ascii="Merriweather" w:hAnsi="Merriweather"/>
        <w:b/>
        <w:noProof/>
        <w:sz w:val="50"/>
        <w:szCs w:val="50"/>
        <w:lang w:eastAsia="en-US"/>
      </w:rPr>
      <w:drawing>
        <wp:inline distT="0" distB="0" distL="0" distR="0" wp14:anchorId="1DB300CD" wp14:editId="77328B44">
          <wp:extent cx="977736" cy="723900"/>
          <wp:effectExtent l="0" t="0" r="0" b="0"/>
          <wp:docPr id="2" name="Picture 2" descr="idah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a:extLst>
                      <a:ext uri="{28A0092B-C50C-407E-A947-70E740481C1C}">
                        <a14:useLocalDpi xmlns:a14="http://schemas.microsoft.com/office/drawing/2010/main" val="0"/>
                      </a:ext>
                    </a:extLst>
                  </a:blip>
                  <a:stretch>
                    <a:fillRect/>
                  </a:stretch>
                </pic:blipFill>
                <pic:spPr>
                  <a:xfrm>
                    <a:off x="0" y="0"/>
                    <a:ext cx="981894" cy="7269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2321F"/>
    <w:multiLevelType w:val="hybridMultilevel"/>
    <w:tmpl w:val="3698F606"/>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1" w15:restartNumberingAfterBreak="0">
    <w:nsid w:val="07ED341D"/>
    <w:multiLevelType w:val="hybridMultilevel"/>
    <w:tmpl w:val="63CA9502"/>
    <w:lvl w:ilvl="0" w:tplc="3084C0E8">
      <w:start w:val="1"/>
      <w:numFmt w:val="bullet"/>
      <w:lvlText w:val=""/>
      <w:lvlJc w:val="left"/>
      <w:pPr>
        <w:ind w:left="594" w:hanging="144"/>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0E312E78"/>
    <w:multiLevelType w:val="hybridMultilevel"/>
    <w:tmpl w:val="CBCAB870"/>
    <w:lvl w:ilvl="0" w:tplc="28EE9056">
      <w:numFmt w:val="bullet"/>
      <w:lvlText w:val=""/>
      <w:lvlJc w:val="left"/>
      <w:pPr>
        <w:ind w:left="819" w:hanging="360"/>
      </w:pPr>
      <w:rPr>
        <w:rFonts w:ascii="Wingdings" w:eastAsia="Wingdings" w:hAnsi="Wingdings" w:cs="Wingdings" w:hint="default"/>
        <w:w w:val="99"/>
        <w:sz w:val="22"/>
        <w:szCs w:val="22"/>
        <w:lang w:val="en-US" w:eastAsia="en-US" w:bidi="en-US"/>
      </w:rPr>
    </w:lvl>
    <w:lvl w:ilvl="1" w:tplc="DAC07C10">
      <w:start w:val="1"/>
      <w:numFmt w:val="decimal"/>
      <w:lvlText w:val="%2)"/>
      <w:lvlJc w:val="left"/>
      <w:pPr>
        <w:ind w:left="1179" w:hanging="360"/>
      </w:pPr>
      <w:rPr>
        <w:rFonts w:ascii="Calibri" w:eastAsia="Calibri" w:hAnsi="Calibri" w:cs="Calibri" w:hint="default"/>
        <w:w w:val="99"/>
        <w:sz w:val="22"/>
        <w:szCs w:val="22"/>
        <w:lang w:val="en-US" w:eastAsia="en-US" w:bidi="en-US"/>
      </w:rPr>
    </w:lvl>
    <w:lvl w:ilvl="2" w:tplc="EF485EC4">
      <w:numFmt w:val="bullet"/>
      <w:lvlText w:val="•"/>
      <w:lvlJc w:val="left"/>
      <w:pPr>
        <w:ind w:left="1918" w:hanging="360"/>
      </w:pPr>
      <w:rPr>
        <w:lang w:val="en-US" w:eastAsia="en-US" w:bidi="en-US"/>
      </w:rPr>
    </w:lvl>
    <w:lvl w:ilvl="3" w:tplc="F566D334">
      <w:numFmt w:val="bullet"/>
      <w:lvlText w:val="•"/>
      <w:lvlJc w:val="left"/>
      <w:pPr>
        <w:ind w:left="2657" w:hanging="360"/>
      </w:pPr>
      <w:rPr>
        <w:lang w:val="en-US" w:eastAsia="en-US" w:bidi="en-US"/>
      </w:rPr>
    </w:lvl>
    <w:lvl w:ilvl="4" w:tplc="0762AB2E">
      <w:numFmt w:val="bullet"/>
      <w:lvlText w:val="•"/>
      <w:lvlJc w:val="left"/>
      <w:pPr>
        <w:ind w:left="3396" w:hanging="360"/>
      </w:pPr>
      <w:rPr>
        <w:lang w:val="en-US" w:eastAsia="en-US" w:bidi="en-US"/>
      </w:rPr>
    </w:lvl>
    <w:lvl w:ilvl="5" w:tplc="A4CA6FDE">
      <w:numFmt w:val="bullet"/>
      <w:lvlText w:val="•"/>
      <w:lvlJc w:val="left"/>
      <w:pPr>
        <w:ind w:left="4135" w:hanging="360"/>
      </w:pPr>
      <w:rPr>
        <w:lang w:val="en-US" w:eastAsia="en-US" w:bidi="en-US"/>
      </w:rPr>
    </w:lvl>
    <w:lvl w:ilvl="6" w:tplc="FEE67C0C">
      <w:numFmt w:val="bullet"/>
      <w:lvlText w:val="•"/>
      <w:lvlJc w:val="left"/>
      <w:pPr>
        <w:ind w:left="4874" w:hanging="360"/>
      </w:pPr>
      <w:rPr>
        <w:lang w:val="en-US" w:eastAsia="en-US" w:bidi="en-US"/>
      </w:rPr>
    </w:lvl>
    <w:lvl w:ilvl="7" w:tplc="72D0F636">
      <w:numFmt w:val="bullet"/>
      <w:lvlText w:val="•"/>
      <w:lvlJc w:val="left"/>
      <w:pPr>
        <w:ind w:left="5613" w:hanging="360"/>
      </w:pPr>
      <w:rPr>
        <w:lang w:val="en-US" w:eastAsia="en-US" w:bidi="en-US"/>
      </w:rPr>
    </w:lvl>
    <w:lvl w:ilvl="8" w:tplc="31A62CA2">
      <w:numFmt w:val="bullet"/>
      <w:lvlText w:val="•"/>
      <w:lvlJc w:val="left"/>
      <w:pPr>
        <w:ind w:left="6352" w:hanging="360"/>
      </w:pPr>
      <w:rPr>
        <w:lang w:val="en-US" w:eastAsia="en-US" w:bidi="en-US"/>
      </w:rPr>
    </w:lvl>
  </w:abstractNum>
  <w:abstractNum w:abstractNumId="4" w15:restartNumberingAfterBreak="0">
    <w:nsid w:val="10263892"/>
    <w:multiLevelType w:val="hybridMultilevel"/>
    <w:tmpl w:val="DEAE3832"/>
    <w:lvl w:ilvl="0" w:tplc="A54CD006">
      <w:start w:val="1"/>
      <w:numFmt w:val="bullet"/>
      <w:lvlText w:val=""/>
      <w:lvlJc w:val="left"/>
      <w:pPr>
        <w:ind w:left="432"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23EA9"/>
    <w:multiLevelType w:val="hybridMultilevel"/>
    <w:tmpl w:val="19C4E624"/>
    <w:lvl w:ilvl="0" w:tplc="3084C0E8">
      <w:start w:val="1"/>
      <w:numFmt w:val="bullet"/>
      <w:lvlText w:val=""/>
      <w:lvlJc w:val="left"/>
      <w:pPr>
        <w:ind w:left="288" w:hanging="144"/>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7" w15:restartNumberingAfterBreak="0">
    <w:nsid w:val="1587219A"/>
    <w:multiLevelType w:val="hybridMultilevel"/>
    <w:tmpl w:val="6C987BEE"/>
    <w:lvl w:ilvl="0" w:tplc="C6A2AE4E">
      <w:start w:val="1"/>
      <w:numFmt w:val="bullet"/>
      <w:lvlText w:val=""/>
      <w:lvlJc w:val="left"/>
      <w:pPr>
        <w:ind w:left="819" w:hanging="360"/>
      </w:pPr>
      <w:rPr>
        <w:rFonts w:ascii="Symbol" w:hAnsi="Symbol" w:hint="default"/>
        <w:b w:val="0"/>
        <w:i w:val="0"/>
        <w:strike w:val="0"/>
        <w:dstrike w:val="0"/>
        <w:color w:val="auto"/>
        <w:w w:val="100"/>
        <w:sz w:val="24"/>
        <w:szCs w:val="20"/>
        <w:u w:val="none"/>
        <w:effect w:val="none"/>
        <w:lang w:val="en-US" w:eastAsia="en-US" w:bidi="en-US"/>
      </w:rPr>
    </w:lvl>
    <w:lvl w:ilvl="1" w:tplc="17346EF4">
      <w:numFmt w:val="bullet"/>
      <w:lvlText w:val=""/>
      <w:lvlJc w:val="left"/>
      <w:pPr>
        <w:ind w:left="1539" w:hanging="360"/>
      </w:pPr>
      <w:rPr>
        <w:rFonts w:ascii="Wingdings" w:eastAsia="Wingdings" w:hAnsi="Wingdings" w:cs="Wingdings" w:hint="default"/>
        <w:w w:val="100"/>
        <w:sz w:val="20"/>
        <w:szCs w:val="20"/>
        <w:lang w:val="en-US" w:eastAsia="en-US" w:bidi="en-US"/>
      </w:rPr>
    </w:lvl>
    <w:lvl w:ilvl="2" w:tplc="281896AA">
      <w:numFmt w:val="bullet"/>
      <w:lvlText w:val="•"/>
      <w:lvlJc w:val="left"/>
      <w:pPr>
        <w:ind w:left="2238" w:hanging="360"/>
      </w:pPr>
      <w:rPr>
        <w:lang w:val="en-US" w:eastAsia="en-US" w:bidi="en-US"/>
      </w:rPr>
    </w:lvl>
    <w:lvl w:ilvl="3" w:tplc="7C7C416E">
      <w:numFmt w:val="bullet"/>
      <w:lvlText w:val="•"/>
      <w:lvlJc w:val="left"/>
      <w:pPr>
        <w:ind w:left="2937" w:hanging="360"/>
      </w:pPr>
      <w:rPr>
        <w:lang w:val="en-US" w:eastAsia="en-US" w:bidi="en-US"/>
      </w:rPr>
    </w:lvl>
    <w:lvl w:ilvl="4" w:tplc="66787AD6">
      <w:numFmt w:val="bullet"/>
      <w:lvlText w:val="•"/>
      <w:lvlJc w:val="left"/>
      <w:pPr>
        <w:ind w:left="3636" w:hanging="360"/>
      </w:pPr>
      <w:rPr>
        <w:lang w:val="en-US" w:eastAsia="en-US" w:bidi="en-US"/>
      </w:rPr>
    </w:lvl>
    <w:lvl w:ilvl="5" w:tplc="091E095A">
      <w:numFmt w:val="bullet"/>
      <w:lvlText w:val="•"/>
      <w:lvlJc w:val="left"/>
      <w:pPr>
        <w:ind w:left="4335" w:hanging="360"/>
      </w:pPr>
      <w:rPr>
        <w:lang w:val="en-US" w:eastAsia="en-US" w:bidi="en-US"/>
      </w:rPr>
    </w:lvl>
    <w:lvl w:ilvl="6" w:tplc="3E140DEA">
      <w:numFmt w:val="bullet"/>
      <w:lvlText w:val="•"/>
      <w:lvlJc w:val="left"/>
      <w:pPr>
        <w:ind w:left="5034" w:hanging="360"/>
      </w:pPr>
      <w:rPr>
        <w:lang w:val="en-US" w:eastAsia="en-US" w:bidi="en-US"/>
      </w:rPr>
    </w:lvl>
    <w:lvl w:ilvl="7" w:tplc="22CAEFA6">
      <w:numFmt w:val="bullet"/>
      <w:lvlText w:val="•"/>
      <w:lvlJc w:val="left"/>
      <w:pPr>
        <w:ind w:left="5733" w:hanging="360"/>
      </w:pPr>
      <w:rPr>
        <w:lang w:val="en-US" w:eastAsia="en-US" w:bidi="en-US"/>
      </w:rPr>
    </w:lvl>
    <w:lvl w:ilvl="8" w:tplc="75DE5952">
      <w:numFmt w:val="bullet"/>
      <w:lvlText w:val="•"/>
      <w:lvlJc w:val="left"/>
      <w:pPr>
        <w:ind w:left="6432" w:hanging="360"/>
      </w:pPr>
      <w:rPr>
        <w:lang w:val="en-US" w:eastAsia="en-US" w:bidi="en-US"/>
      </w:rPr>
    </w:lvl>
  </w:abstractNum>
  <w:abstractNum w:abstractNumId="8"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D00EEF"/>
    <w:multiLevelType w:val="hybridMultilevel"/>
    <w:tmpl w:val="4412F68C"/>
    <w:lvl w:ilvl="0" w:tplc="A726CA70">
      <w:start w:val="1"/>
      <w:numFmt w:val="bullet"/>
      <w:lvlText w:val=""/>
      <w:lvlJc w:val="left"/>
      <w:pPr>
        <w:ind w:left="360" w:hanging="14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1717DF"/>
    <w:multiLevelType w:val="hybridMultilevel"/>
    <w:tmpl w:val="FEFCCC6C"/>
    <w:lvl w:ilvl="0" w:tplc="A54CD006">
      <w:start w:val="1"/>
      <w:numFmt w:val="bullet"/>
      <w:lvlText w:val=""/>
      <w:lvlJc w:val="left"/>
      <w:pPr>
        <w:ind w:left="432"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BA06FD"/>
    <w:multiLevelType w:val="hybridMultilevel"/>
    <w:tmpl w:val="8AF43B22"/>
    <w:lvl w:ilvl="0" w:tplc="FFD88C1A">
      <w:start w:val="1"/>
      <w:numFmt w:val="bullet"/>
      <w:lvlText w:val=""/>
      <w:lvlJc w:val="left"/>
      <w:pPr>
        <w:ind w:left="432" w:hanging="216"/>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C46F6"/>
    <w:multiLevelType w:val="hybridMultilevel"/>
    <w:tmpl w:val="E2BCD0CC"/>
    <w:lvl w:ilvl="0" w:tplc="A726CA70">
      <w:start w:val="1"/>
      <w:numFmt w:val="bullet"/>
      <w:lvlText w:val=""/>
      <w:lvlJc w:val="left"/>
      <w:pPr>
        <w:ind w:left="360"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732C36"/>
    <w:multiLevelType w:val="hybridMultilevel"/>
    <w:tmpl w:val="9294BB6E"/>
    <w:lvl w:ilvl="0" w:tplc="04090005">
      <w:start w:val="1"/>
      <w:numFmt w:val="bullet"/>
      <w:lvlText w:val=""/>
      <w:lvlJc w:val="left"/>
      <w:pPr>
        <w:ind w:left="432" w:hanging="216"/>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040BA3"/>
    <w:multiLevelType w:val="multilevel"/>
    <w:tmpl w:val="1AB88F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BE4624"/>
    <w:multiLevelType w:val="hybridMultilevel"/>
    <w:tmpl w:val="1C7E7890"/>
    <w:lvl w:ilvl="0" w:tplc="BE683F64">
      <w:start w:val="1"/>
      <w:numFmt w:val="bullet"/>
      <w:lvlText w:val=""/>
      <w:lvlJc w:val="left"/>
      <w:pPr>
        <w:ind w:left="432"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85460D"/>
    <w:multiLevelType w:val="hybridMultilevel"/>
    <w:tmpl w:val="37AAC76E"/>
    <w:lvl w:ilvl="0" w:tplc="3084C0E8">
      <w:start w:val="1"/>
      <w:numFmt w:val="bullet"/>
      <w:lvlText w:val=""/>
      <w:lvlJc w:val="left"/>
      <w:pPr>
        <w:ind w:left="216" w:hanging="144"/>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7" w15:restartNumberingAfterBreak="0">
    <w:nsid w:val="4A5F55E1"/>
    <w:multiLevelType w:val="hybridMultilevel"/>
    <w:tmpl w:val="E2AC74D8"/>
    <w:lvl w:ilvl="0" w:tplc="A374292A">
      <w:start w:val="1"/>
      <w:numFmt w:val="bullet"/>
      <w:lvlText w:val="o"/>
      <w:lvlJc w:val="left"/>
      <w:pPr>
        <w:ind w:left="864" w:hanging="288"/>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63252B"/>
    <w:multiLevelType w:val="hybridMultilevel"/>
    <w:tmpl w:val="E5827362"/>
    <w:lvl w:ilvl="0" w:tplc="DFF0AF4A">
      <w:start w:val="1"/>
      <w:numFmt w:val="bullet"/>
      <w:lvlText w:val=""/>
      <w:lvlJc w:val="left"/>
      <w:pPr>
        <w:ind w:left="432" w:hanging="216"/>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1C2059"/>
    <w:multiLevelType w:val="hybridMultilevel"/>
    <w:tmpl w:val="3738F148"/>
    <w:lvl w:ilvl="0" w:tplc="A726CA70">
      <w:start w:val="1"/>
      <w:numFmt w:val="bullet"/>
      <w:lvlText w:val=""/>
      <w:lvlJc w:val="left"/>
      <w:pPr>
        <w:ind w:left="288" w:hanging="144"/>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0" w15:restartNumberingAfterBreak="0">
    <w:nsid w:val="657E5D71"/>
    <w:multiLevelType w:val="hybridMultilevel"/>
    <w:tmpl w:val="AD24D97A"/>
    <w:lvl w:ilvl="0" w:tplc="EE42ED74">
      <w:numFmt w:val="bullet"/>
      <w:pStyle w:val="ListBullet"/>
      <w:lvlText w:val="•"/>
      <w:lvlJc w:val="left"/>
      <w:pPr>
        <w:ind w:left="504" w:hanging="360"/>
      </w:pPr>
      <w:rPr>
        <w:rFonts w:hint="default"/>
        <w:color w:val="081422" w:themeColor="background2" w:themeShade="1A"/>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C6512A"/>
    <w:multiLevelType w:val="hybridMultilevel"/>
    <w:tmpl w:val="5A3872EA"/>
    <w:lvl w:ilvl="0" w:tplc="F1DE650A">
      <w:start w:val="1"/>
      <w:numFmt w:val="bullet"/>
      <w:lvlText w:val=""/>
      <w:lvlJc w:val="left"/>
      <w:pPr>
        <w:ind w:left="360" w:hanging="144"/>
      </w:pPr>
      <w:rPr>
        <w:rFonts w:ascii="Symbol" w:hAnsi="Symbol" w:hint="default"/>
      </w:rPr>
    </w:lvl>
    <w:lvl w:ilvl="1" w:tplc="F09E90CA">
      <w:start w:val="1"/>
      <w:numFmt w:val="decimal"/>
      <w:lvlText w:val="%2."/>
      <w:lvlJc w:val="left"/>
      <w:pPr>
        <w:ind w:left="1440" w:hanging="360"/>
      </w:pPr>
      <w:rPr>
        <w:rFonts w:ascii="Calibri" w:eastAsia="Calibri" w:hAnsi="Calibri" w:cs="Calibr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5B19C8"/>
    <w:multiLevelType w:val="hybridMultilevel"/>
    <w:tmpl w:val="A310327A"/>
    <w:lvl w:ilvl="0" w:tplc="A726CA70">
      <w:start w:val="1"/>
      <w:numFmt w:val="bullet"/>
      <w:lvlText w:val=""/>
      <w:lvlJc w:val="left"/>
      <w:pPr>
        <w:ind w:left="360"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4C4179"/>
    <w:multiLevelType w:val="hybridMultilevel"/>
    <w:tmpl w:val="E9CE284A"/>
    <w:lvl w:ilvl="0" w:tplc="A54CD006">
      <w:start w:val="1"/>
      <w:numFmt w:val="bullet"/>
      <w:lvlText w:val=""/>
      <w:lvlJc w:val="left"/>
      <w:pPr>
        <w:ind w:left="360" w:hanging="216"/>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4" w15:restartNumberingAfterBreak="0">
    <w:nsid w:val="6C1C4301"/>
    <w:multiLevelType w:val="hybridMultilevel"/>
    <w:tmpl w:val="95FEDD82"/>
    <w:lvl w:ilvl="0" w:tplc="C5B06B7C">
      <w:start w:val="1"/>
      <w:numFmt w:val="bullet"/>
      <w:lvlText w:val=""/>
      <w:lvlJc w:val="left"/>
      <w:pPr>
        <w:ind w:left="432"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A92FA9"/>
    <w:multiLevelType w:val="hybridMultilevel"/>
    <w:tmpl w:val="7382E1BA"/>
    <w:lvl w:ilvl="0" w:tplc="3084C0E8">
      <w:start w:val="1"/>
      <w:numFmt w:val="bullet"/>
      <w:lvlText w:val=""/>
      <w:lvlJc w:val="left"/>
      <w:pPr>
        <w:ind w:left="216" w:hanging="144"/>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6" w15:restartNumberingAfterBreak="0">
    <w:nsid w:val="718006BC"/>
    <w:multiLevelType w:val="hybridMultilevel"/>
    <w:tmpl w:val="09AA35FC"/>
    <w:lvl w:ilvl="0" w:tplc="CFB869C4">
      <w:start w:val="1"/>
      <w:numFmt w:val="bullet"/>
      <w:lvlText w:val=""/>
      <w:lvlJc w:val="left"/>
      <w:pPr>
        <w:ind w:left="360" w:hanging="14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EC362D"/>
    <w:multiLevelType w:val="hybridMultilevel"/>
    <w:tmpl w:val="5BB006EC"/>
    <w:lvl w:ilvl="0" w:tplc="A54CD006">
      <w:start w:val="1"/>
      <w:numFmt w:val="bullet"/>
      <w:lvlText w:val=""/>
      <w:lvlJc w:val="left"/>
      <w:pPr>
        <w:ind w:left="432"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8628B3"/>
    <w:multiLevelType w:val="hybridMultilevel"/>
    <w:tmpl w:val="50BA5B14"/>
    <w:lvl w:ilvl="0" w:tplc="04090005">
      <w:start w:val="1"/>
      <w:numFmt w:val="bullet"/>
      <w:lvlText w:val=""/>
      <w:lvlJc w:val="left"/>
      <w:pPr>
        <w:ind w:left="432" w:hanging="216"/>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316ED2"/>
    <w:multiLevelType w:val="hybridMultilevel"/>
    <w:tmpl w:val="9FA4D6BE"/>
    <w:lvl w:ilvl="0" w:tplc="C5B06B7C">
      <w:start w:val="1"/>
      <w:numFmt w:val="bullet"/>
      <w:lvlText w:val=""/>
      <w:lvlJc w:val="left"/>
      <w:pPr>
        <w:ind w:left="432"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2"/>
  </w:num>
  <w:num w:numId="4">
    <w:abstractNumId w:val="8"/>
  </w:num>
  <w:num w:numId="5">
    <w:abstractNumId w:val="15"/>
  </w:num>
  <w:num w:numId="6">
    <w:abstractNumId w:val="24"/>
  </w:num>
  <w:num w:numId="7">
    <w:abstractNumId w:val="29"/>
  </w:num>
  <w:num w:numId="8">
    <w:abstractNumId w:val="18"/>
  </w:num>
  <w:num w:numId="9">
    <w:abstractNumId w:val="11"/>
  </w:num>
  <w:num w:numId="10">
    <w:abstractNumId w:val="4"/>
  </w:num>
  <w:num w:numId="11">
    <w:abstractNumId w:val="27"/>
  </w:num>
  <w:num w:numId="12">
    <w:abstractNumId w:val="10"/>
  </w:num>
  <w:num w:numId="13">
    <w:abstractNumId w:val="23"/>
  </w:num>
  <w:num w:numId="14">
    <w:abstractNumId w:val="22"/>
  </w:num>
  <w:num w:numId="15">
    <w:abstractNumId w:val="12"/>
  </w:num>
  <w:num w:numId="16">
    <w:abstractNumId w:val="9"/>
  </w:num>
  <w:num w:numId="17">
    <w:abstractNumId w:val="19"/>
  </w:num>
  <w:num w:numId="18">
    <w:abstractNumId w:val="21"/>
  </w:num>
  <w:num w:numId="19">
    <w:abstractNumId w:val="26"/>
  </w:num>
  <w:num w:numId="20">
    <w:abstractNumId w:val="17"/>
  </w:num>
  <w:num w:numId="21">
    <w:abstractNumId w:val="1"/>
  </w:num>
  <w:num w:numId="22">
    <w:abstractNumId w:val="6"/>
  </w:num>
  <w:num w:numId="23">
    <w:abstractNumId w:val="16"/>
  </w:num>
  <w:num w:numId="24">
    <w:abstractNumId w:val="25"/>
  </w:num>
  <w:num w:numId="25">
    <w:abstractNumId w:val="28"/>
  </w:num>
  <w:num w:numId="26">
    <w:abstractNumId w:val="13"/>
  </w:num>
  <w:num w:numId="27">
    <w:abstractNumId w:val="3"/>
    <w:lvlOverride w:ilvl="0"/>
    <w:lvlOverride w:ilvl="1">
      <w:startOverride w:val="1"/>
    </w:lvlOverride>
    <w:lvlOverride w:ilvl="2"/>
    <w:lvlOverride w:ilvl="3"/>
    <w:lvlOverride w:ilvl="4"/>
    <w:lvlOverride w:ilvl="5"/>
    <w:lvlOverride w:ilvl="6"/>
    <w:lvlOverride w:ilvl="7"/>
    <w:lvlOverride w:ilvl="8"/>
  </w:num>
  <w:num w:numId="28">
    <w:abstractNumId w:val="7"/>
  </w:num>
  <w:num w:numId="29">
    <w:abstractNumId w:val="14"/>
  </w:num>
  <w:num w:numId="30">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60F4"/>
    <w:rsid w:val="00032F5D"/>
    <w:rsid w:val="00033CD6"/>
    <w:rsid w:val="00050E96"/>
    <w:rsid w:val="00062E3E"/>
    <w:rsid w:val="00083931"/>
    <w:rsid w:val="00096168"/>
    <w:rsid w:val="000A035E"/>
    <w:rsid w:val="000E51BA"/>
    <w:rsid w:val="000E7F7E"/>
    <w:rsid w:val="0010006A"/>
    <w:rsid w:val="00103DBC"/>
    <w:rsid w:val="00112D4A"/>
    <w:rsid w:val="001156E4"/>
    <w:rsid w:val="001168C0"/>
    <w:rsid w:val="001177B9"/>
    <w:rsid w:val="00122C74"/>
    <w:rsid w:val="00154031"/>
    <w:rsid w:val="00156BC2"/>
    <w:rsid w:val="00180F84"/>
    <w:rsid w:val="0018288A"/>
    <w:rsid w:val="0018672F"/>
    <w:rsid w:val="00196761"/>
    <w:rsid w:val="001B5314"/>
    <w:rsid w:val="001C39B0"/>
    <w:rsid w:val="001E11B1"/>
    <w:rsid w:val="00212E1E"/>
    <w:rsid w:val="00245FA3"/>
    <w:rsid w:val="00256027"/>
    <w:rsid w:val="0025689F"/>
    <w:rsid w:val="0026476C"/>
    <w:rsid w:val="00281739"/>
    <w:rsid w:val="002906B4"/>
    <w:rsid w:val="0029223D"/>
    <w:rsid w:val="002940F6"/>
    <w:rsid w:val="002B28EA"/>
    <w:rsid w:val="002C4235"/>
    <w:rsid w:val="002D14F2"/>
    <w:rsid w:val="002F1BB5"/>
    <w:rsid w:val="0031441D"/>
    <w:rsid w:val="003328C8"/>
    <w:rsid w:val="00333E67"/>
    <w:rsid w:val="0034594A"/>
    <w:rsid w:val="00347EBE"/>
    <w:rsid w:val="003727D0"/>
    <w:rsid w:val="00374E45"/>
    <w:rsid w:val="00374E7F"/>
    <w:rsid w:val="003A5AAF"/>
    <w:rsid w:val="003D0540"/>
    <w:rsid w:val="003D5F75"/>
    <w:rsid w:val="00407D20"/>
    <w:rsid w:val="00421E6C"/>
    <w:rsid w:val="00455182"/>
    <w:rsid w:val="004667B3"/>
    <w:rsid w:val="00470189"/>
    <w:rsid w:val="00492A4E"/>
    <w:rsid w:val="004B1E38"/>
    <w:rsid w:val="004C3C60"/>
    <w:rsid w:val="004D0B4B"/>
    <w:rsid w:val="004D3285"/>
    <w:rsid w:val="004E05E7"/>
    <w:rsid w:val="005538F4"/>
    <w:rsid w:val="00573596"/>
    <w:rsid w:val="005B1976"/>
    <w:rsid w:val="005B5F55"/>
    <w:rsid w:val="005D7772"/>
    <w:rsid w:val="005F6098"/>
    <w:rsid w:val="00615807"/>
    <w:rsid w:val="00631317"/>
    <w:rsid w:val="00646404"/>
    <w:rsid w:val="006606C2"/>
    <w:rsid w:val="0068404C"/>
    <w:rsid w:val="00695423"/>
    <w:rsid w:val="006A5E48"/>
    <w:rsid w:val="006A5ECD"/>
    <w:rsid w:val="006B1BC0"/>
    <w:rsid w:val="006B5881"/>
    <w:rsid w:val="006C31E0"/>
    <w:rsid w:val="00715120"/>
    <w:rsid w:val="00716B38"/>
    <w:rsid w:val="00722015"/>
    <w:rsid w:val="00733413"/>
    <w:rsid w:val="007334DA"/>
    <w:rsid w:val="0078063D"/>
    <w:rsid w:val="00791D1B"/>
    <w:rsid w:val="007E114F"/>
    <w:rsid w:val="00807835"/>
    <w:rsid w:val="00824793"/>
    <w:rsid w:val="00853C51"/>
    <w:rsid w:val="00872142"/>
    <w:rsid w:val="00877267"/>
    <w:rsid w:val="0089512B"/>
    <w:rsid w:val="008B16D9"/>
    <w:rsid w:val="008B30A1"/>
    <w:rsid w:val="008C6AA4"/>
    <w:rsid w:val="009057E8"/>
    <w:rsid w:val="009262F6"/>
    <w:rsid w:val="0093301E"/>
    <w:rsid w:val="00940C28"/>
    <w:rsid w:val="00941F8B"/>
    <w:rsid w:val="00953229"/>
    <w:rsid w:val="00956C1B"/>
    <w:rsid w:val="00976BFB"/>
    <w:rsid w:val="00990C23"/>
    <w:rsid w:val="009B4882"/>
    <w:rsid w:val="009F7615"/>
    <w:rsid w:val="00A01BFA"/>
    <w:rsid w:val="00A903D1"/>
    <w:rsid w:val="00AB724D"/>
    <w:rsid w:val="00AD1AC9"/>
    <w:rsid w:val="00AD1E5A"/>
    <w:rsid w:val="00AD4B8D"/>
    <w:rsid w:val="00AD7F3B"/>
    <w:rsid w:val="00AE0F6C"/>
    <w:rsid w:val="00B17D56"/>
    <w:rsid w:val="00B32DEC"/>
    <w:rsid w:val="00B33BBD"/>
    <w:rsid w:val="00B53215"/>
    <w:rsid w:val="00B5377E"/>
    <w:rsid w:val="00B565A2"/>
    <w:rsid w:val="00B62E45"/>
    <w:rsid w:val="00B856B0"/>
    <w:rsid w:val="00BA6DC7"/>
    <w:rsid w:val="00BB7C99"/>
    <w:rsid w:val="00BC3467"/>
    <w:rsid w:val="00BD1383"/>
    <w:rsid w:val="00BE7431"/>
    <w:rsid w:val="00BF6007"/>
    <w:rsid w:val="00C00A30"/>
    <w:rsid w:val="00C16B1A"/>
    <w:rsid w:val="00C308A6"/>
    <w:rsid w:val="00C318EC"/>
    <w:rsid w:val="00C34C3D"/>
    <w:rsid w:val="00C53AE9"/>
    <w:rsid w:val="00C55449"/>
    <w:rsid w:val="00C807B2"/>
    <w:rsid w:val="00C81D83"/>
    <w:rsid w:val="00C96EF5"/>
    <w:rsid w:val="00CA2966"/>
    <w:rsid w:val="00CA469D"/>
    <w:rsid w:val="00CB7368"/>
    <w:rsid w:val="00CC33FF"/>
    <w:rsid w:val="00CD072C"/>
    <w:rsid w:val="00CE4245"/>
    <w:rsid w:val="00D022E5"/>
    <w:rsid w:val="00D15719"/>
    <w:rsid w:val="00D516C9"/>
    <w:rsid w:val="00D550CF"/>
    <w:rsid w:val="00D77222"/>
    <w:rsid w:val="00D96187"/>
    <w:rsid w:val="00DE52FA"/>
    <w:rsid w:val="00DF27A6"/>
    <w:rsid w:val="00E020C2"/>
    <w:rsid w:val="00E27737"/>
    <w:rsid w:val="00E55EE7"/>
    <w:rsid w:val="00E76942"/>
    <w:rsid w:val="00E80235"/>
    <w:rsid w:val="00EB2D92"/>
    <w:rsid w:val="00EC4660"/>
    <w:rsid w:val="00ED18BD"/>
    <w:rsid w:val="00ED30A3"/>
    <w:rsid w:val="00ED76D3"/>
    <w:rsid w:val="00EF0196"/>
    <w:rsid w:val="00F13D4B"/>
    <w:rsid w:val="00F144BF"/>
    <w:rsid w:val="00F174FF"/>
    <w:rsid w:val="00F3077F"/>
    <w:rsid w:val="00F31472"/>
    <w:rsid w:val="00F33DCC"/>
    <w:rsid w:val="00F536C2"/>
    <w:rsid w:val="00F548FB"/>
    <w:rsid w:val="00F559D9"/>
    <w:rsid w:val="00F666C4"/>
    <w:rsid w:val="00F775BF"/>
    <w:rsid w:val="00F814F1"/>
    <w:rsid w:val="00F94617"/>
    <w:rsid w:val="00F94D3A"/>
    <w:rsid w:val="00FA3763"/>
    <w:rsid w:val="00FA5BEA"/>
    <w:rsid w:val="00FB2302"/>
    <w:rsid w:val="00FB4A46"/>
    <w:rsid w:val="00FC72DE"/>
    <w:rsid w:val="00FE7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9799ED"/>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1"/>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next w:val="ListBullet"/>
    <w:uiPriority w:val="1"/>
    <w:qFormat/>
    <w:rsid w:val="00033CD6"/>
    <w:pPr>
      <w:numPr>
        <w:numId w:val="2"/>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4"/>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paragraph" w:customStyle="1" w:styleId="TableParagraph">
    <w:name w:val="Table Paragraph"/>
    <w:basedOn w:val="Normal"/>
    <w:uiPriority w:val="1"/>
    <w:qFormat/>
    <w:rsid w:val="006606C2"/>
    <w:pPr>
      <w:widowControl w:val="0"/>
      <w:autoSpaceDE w:val="0"/>
      <w:autoSpaceDN w:val="0"/>
      <w:spacing w:after="0" w:line="240" w:lineRule="auto"/>
      <w:ind w:left="99"/>
    </w:pPr>
    <w:rPr>
      <w:rFonts w:eastAsia="Calibri" w:cs="Calibri"/>
      <w:color w:val="auto"/>
      <w:sz w:val="22"/>
      <w:szCs w:val="22"/>
      <w:lang w:eastAsia="en-US" w:bidi="en-US"/>
    </w:rPr>
  </w:style>
  <w:style w:type="character" w:styleId="UnresolvedMention">
    <w:name w:val="Unresolved Mention"/>
    <w:basedOn w:val="DefaultParagraphFont"/>
    <w:uiPriority w:val="99"/>
    <w:semiHidden/>
    <w:unhideWhenUsed/>
    <w:rsid w:val="006B1BC0"/>
    <w:rPr>
      <w:color w:val="605E5C"/>
      <w:shd w:val="clear" w:color="auto" w:fill="E1DFDD"/>
    </w:rPr>
  </w:style>
  <w:style w:type="character" w:styleId="FollowedHyperlink">
    <w:name w:val="FollowedHyperlink"/>
    <w:basedOn w:val="DefaultParagraphFont"/>
    <w:uiPriority w:val="99"/>
    <w:semiHidden/>
    <w:unhideWhenUsed/>
    <w:rsid w:val="00FA3763"/>
    <w:rPr>
      <w:color w:val="E36C0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593360">
      <w:bodyDiv w:val="1"/>
      <w:marLeft w:val="0"/>
      <w:marRight w:val="0"/>
      <w:marTop w:val="0"/>
      <w:marBottom w:val="0"/>
      <w:divBdr>
        <w:top w:val="none" w:sz="0" w:space="0" w:color="auto"/>
        <w:left w:val="none" w:sz="0" w:space="0" w:color="auto"/>
        <w:bottom w:val="none" w:sz="0" w:space="0" w:color="auto"/>
        <w:right w:val="none" w:sz="0" w:space="0" w:color="auto"/>
      </w:divBdr>
    </w:div>
    <w:div w:id="896664571">
      <w:bodyDiv w:val="1"/>
      <w:marLeft w:val="0"/>
      <w:marRight w:val="0"/>
      <w:marTop w:val="0"/>
      <w:marBottom w:val="0"/>
      <w:divBdr>
        <w:top w:val="none" w:sz="0" w:space="0" w:color="auto"/>
        <w:left w:val="none" w:sz="0" w:space="0" w:color="auto"/>
        <w:bottom w:val="none" w:sz="0" w:space="0" w:color="auto"/>
        <w:right w:val="none" w:sz="0" w:space="0" w:color="auto"/>
      </w:divBdr>
    </w:div>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andemic%20Relief%20Funds%20Monitoring" TargetMode="External"/><Relationship Id="rId18" Type="http://schemas.openxmlformats.org/officeDocument/2006/relationships/hyperlink" Target="mailto:jnoteboom@sde.idaho.gov"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view.officeapps.live.com/op/view.aspx?src=https%3A%2F%2Fwww.sde.idaho.gov%2Ffederal-programs%2Fprf%2Ffiles%2Fgeneral%2FESSER-Request-for-Exemption-for-Competitive-Procurement.docx&amp;wdOrigin=BROWSELINK" TargetMode="External"/><Relationship Id="rId17" Type="http://schemas.openxmlformats.org/officeDocument/2006/relationships/hyperlink" Target="mailto:akennedy@sde.idaho.gov" TargetMode="External"/><Relationship Id="rId2" Type="http://schemas.openxmlformats.org/officeDocument/2006/relationships/customXml" Target="../customXml/item2.xml"/><Relationship Id="rId16" Type="http://schemas.openxmlformats.org/officeDocument/2006/relationships/hyperlink" Target="mailto:Pandemi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de.idaho.gov/federal-programs/program-monitoring/files/general/Inventory-Template.xlsx" TargetMode="External"/><Relationship Id="rId5" Type="http://schemas.openxmlformats.org/officeDocument/2006/relationships/settings" Target="settings.xml"/><Relationship Id="rId15" Type="http://schemas.openxmlformats.org/officeDocument/2006/relationships/hyperlink" Target="mailto:lenglish@sde.idaho.gov" TargetMode="External"/><Relationship Id="rId23" Type="http://schemas.openxmlformats.org/officeDocument/2006/relationships/theme" Target="theme/theme1.xml"/><Relationship Id="rId10" Type="http://schemas.openxmlformats.org/officeDocument/2006/relationships/hyperlink" Target="http://sde.idaho.gov/federal-programs/equitable-services/files/equitable-services/Intent-to-Participate-and-Enrollment-Form-Sample.docx"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federalregister.gov/documents/2021/04/22/2021-08359/american-rescue-plan-act-elementary-and-secondary-school-emergency-relief-fund" TargetMode="External"/><Relationship Id="rId14" Type="http://schemas.openxmlformats.org/officeDocument/2006/relationships/hyperlink" Target="mailto:jnoteboom@sde.idaho.go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C3ADEFD7-882F-46FD-8F4C-103A8DC46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29</TotalTime>
  <Pages>16</Pages>
  <Words>3694</Words>
  <Characters>21056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Template</vt:lpstr>
    </vt:vector>
  </TitlesOfParts>
  <Company>Idaho State Department of Education</Company>
  <LinksUpToDate>false</LinksUpToDate>
  <CharactersWithSpaces>24701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Program Name</dc:subject>
  <dc:creator>SDE</dc:creator>
  <cp:keywords/>
  <cp:lastModifiedBy>Lisa English</cp:lastModifiedBy>
  <cp:revision>4</cp:revision>
  <cp:lastPrinted>2017-06-14T17:22:00Z</cp:lastPrinted>
  <dcterms:created xsi:type="dcterms:W3CDTF">2024-07-24T23:46:00Z</dcterms:created>
  <dcterms:modified xsi:type="dcterms:W3CDTF">2024-08-28T16:58:00Z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y fmtid="{D5CDD505-2E9C-101B-9397-08002B2CF9AE}" pid="3" name="GrammarlyDocumentId">
    <vt:lpwstr>8781d6b8d3f5f7a2e2362cf42df49bb47b7e8cae06f3bd5a421d4ef1933e2076</vt:lpwstr>
  </property>
</Properties>
</file>