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051" w:rsidRDefault="00D756C0" w:rsidP="00615051">
      <w:pPr>
        <w:spacing w:after="0" w:line="240" w:lineRule="auto"/>
        <w:jc w:val="center"/>
        <w:rPr>
          <w:rFonts w:ascii="Cambria" w:eastAsia="Calibri" w:hAnsi="Cambria" w:cs="Times New Roman"/>
          <w:color w:val="4F6228"/>
          <w:sz w:val="32"/>
          <w:szCs w:val="24"/>
        </w:rPr>
      </w:pPr>
      <w:r>
        <w:rPr>
          <w:rFonts w:ascii="Cambria" w:eastAsia="Calibri" w:hAnsi="Cambria" w:cs="Times New Roman"/>
          <w:color w:val="4F6228"/>
          <w:sz w:val="32"/>
          <w:szCs w:val="24"/>
        </w:rPr>
        <w:t xml:space="preserve">MV </w:t>
      </w:r>
      <w:bookmarkStart w:id="0" w:name="_GoBack"/>
      <w:bookmarkEnd w:id="0"/>
      <w:r w:rsidR="00615051">
        <w:rPr>
          <w:rFonts w:ascii="Cambria" w:eastAsia="Calibri" w:hAnsi="Cambria" w:cs="Times New Roman"/>
          <w:color w:val="4F6228"/>
          <w:sz w:val="32"/>
          <w:szCs w:val="24"/>
        </w:rPr>
        <w:t>Dispute Review Guide</w:t>
      </w:r>
    </w:p>
    <w:p w:rsidR="00615051" w:rsidRDefault="00615051" w:rsidP="00615051">
      <w:pPr>
        <w:spacing w:after="0" w:line="240" w:lineRule="auto"/>
        <w:rPr>
          <w:rFonts w:ascii="Cambria" w:eastAsia="Calibri" w:hAnsi="Cambria" w:cs="Times New Roman"/>
          <w:sz w:val="24"/>
          <w:szCs w:val="24"/>
        </w:rPr>
      </w:pPr>
    </w:p>
    <w:p w:rsidR="00615051" w:rsidRDefault="00615051" w:rsidP="00615051">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Case: </w:t>
      </w:r>
    </w:p>
    <w:p w:rsidR="00615051" w:rsidRDefault="00615051" w:rsidP="00615051">
      <w:pPr>
        <w:spacing w:after="0" w:line="240" w:lineRule="auto"/>
        <w:rPr>
          <w:rFonts w:ascii="Cambria" w:eastAsia="Calibri" w:hAnsi="Cambria" w:cs="Times New Roman"/>
          <w:sz w:val="24"/>
          <w:szCs w:val="24"/>
        </w:rPr>
      </w:pPr>
      <w:r>
        <w:rPr>
          <w:rFonts w:ascii="Cambria" w:eastAsia="Calibri" w:hAnsi="Cambria" w:cs="Times New Roman"/>
          <w:sz w:val="24"/>
          <w:szCs w:val="24"/>
        </w:rPr>
        <w:t>Date Initiated:</w:t>
      </w:r>
    </w:p>
    <w:p w:rsidR="00615051" w:rsidRDefault="00615051" w:rsidP="00615051">
      <w:pPr>
        <w:spacing w:after="0" w:line="240" w:lineRule="auto"/>
        <w:rPr>
          <w:rFonts w:ascii="Cambria" w:eastAsia="Calibri" w:hAnsi="Cambria" w:cs="Times New Roman"/>
          <w:sz w:val="24"/>
          <w:szCs w:val="24"/>
        </w:rPr>
      </w:pPr>
      <w:r>
        <w:rPr>
          <w:rFonts w:ascii="Cambria" w:eastAsia="Calibri" w:hAnsi="Cambria" w:cs="Times New Roman"/>
          <w:sz w:val="24"/>
          <w:szCs w:val="24"/>
        </w:rPr>
        <w:t>Date Resolved:</w:t>
      </w:r>
    </w:p>
    <w:p w:rsidR="00615051" w:rsidRDefault="00615051" w:rsidP="00615051">
      <w:pPr>
        <w:spacing w:after="0" w:line="240" w:lineRule="auto"/>
        <w:rPr>
          <w:rFonts w:ascii="Cambria" w:eastAsia="Calibri" w:hAnsi="Cambria" w:cs="Times New Roman"/>
          <w:sz w:val="24"/>
          <w:szCs w:val="24"/>
        </w:rPr>
      </w:pPr>
      <w:r>
        <w:rPr>
          <w:rFonts w:ascii="Cambria" w:eastAsia="Calibri" w:hAnsi="Cambria" w:cs="Times New Roman"/>
          <w:sz w:val="24"/>
          <w:szCs w:val="24"/>
        </w:rPr>
        <w:t>Summary of Dispute:</w:t>
      </w:r>
    </w:p>
    <w:p w:rsidR="00615051" w:rsidRDefault="00615051" w:rsidP="00615051">
      <w:pPr>
        <w:spacing w:after="0" w:line="240" w:lineRule="auto"/>
        <w:rPr>
          <w:rFonts w:ascii="Cambria" w:eastAsia="Calibri" w:hAnsi="Cambria" w:cs="Times New Roman"/>
          <w:sz w:val="24"/>
          <w:szCs w:val="24"/>
        </w:rPr>
      </w:pPr>
      <w:r>
        <w:rPr>
          <w:rFonts w:ascii="Cambria" w:eastAsia="Calibri" w:hAnsi="Cambria" w:cs="Times New Roman"/>
          <w:sz w:val="24"/>
          <w:szCs w:val="24"/>
        </w:rPr>
        <w:t>Resolution:</w:t>
      </w:r>
    </w:p>
    <w:p w:rsidR="00615051" w:rsidRDefault="00615051" w:rsidP="00615051">
      <w:pPr>
        <w:spacing w:after="0" w:line="240" w:lineRule="auto"/>
        <w:jc w:val="center"/>
        <w:rPr>
          <w:rFonts w:ascii="Cambria" w:eastAsia="Calibri" w:hAnsi="Cambria" w:cs="Times New Roman"/>
          <w:sz w:val="24"/>
          <w:szCs w:val="24"/>
        </w:rPr>
      </w:pPr>
    </w:p>
    <w:tbl>
      <w:tblPr>
        <w:tblStyle w:val="TableGrid1"/>
        <w:tblW w:w="10435" w:type="dxa"/>
        <w:jc w:val="center"/>
        <w:tblInd w:w="0" w:type="dxa"/>
        <w:tblLook w:val="04A0" w:firstRow="1" w:lastRow="0" w:firstColumn="1" w:lastColumn="0" w:noHBand="0" w:noVBand="1"/>
      </w:tblPr>
      <w:tblGrid>
        <w:gridCol w:w="2772"/>
        <w:gridCol w:w="697"/>
        <w:gridCol w:w="2203"/>
        <w:gridCol w:w="4763"/>
      </w:tblGrid>
      <w:tr w:rsidR="00615051" w:rsidTr="00615051">
        <w:trPr>
          <w:jc w:val="center"/>
        </w:trPr>
        <w:tc>
          <w:tcPr>
            <w:tcW w:w="10435" w:type="dxa"/>
            <w:gridSpan w:val="4"/>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rPr>
            </w:pPr>
            <w:r>
              <w:rPr>
                <w:rFonts w:ascii="Cambria" w:eastAsia="Calibri" w:hAnsi="Cambria"/>
              </w:rPr>
              <w:t>Before</w:t>
            </w: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rPr>
            </w:pPr>
            <w:r>
              <w:rPr>
                <w:rFonts w:ascii="Cambria" w:eastAsia="Calibri" w:hAnsi="Cambria"/>
              </w:rPr>
              <w:t>Issue</w:t>
            </w:r>
          </w:p>
        </w:tc>
        <w:tc>
          <w:tcPr>
            <w:tcW w:w="69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615051" w:rsidRDefault="00615051">
            <w:pPr>
              <w:autoSpaceDE w:val="0"/>
              <w:autoSpaceDN w:val="0"/>
              <w:adjustRightInd w:val="0"/>
              <w:spacing w:line="240" w:lineRule="auto"/>
              <w:jc w:val="center"/>
              <w:rPr>
                <w:rFonts w:ascii="Wingdings" w:eastAsia="Calibri" w:hAnsi="Wingdings"/>
              </w:rPr>
            </w:pPr>
            <w:r>
              <w:rPr>
                <w:rFonts w:ascii="Wingdings" w:eastAsia="Calibri" w:hAnsi="Wingdings" w:cs="Wingdings"/>
                <w:sz w:val="26"/>
                <w:szCs w:val="26"/>
              </w:rPr>
              <w:t></w:t>
            </w:r>
          </w:p>
        </w:tc>
        <w:tc>
          <w:tcPr>
            <w:tcW w:w="2203"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rPr>
            </w:pPr>
            <w:r>
              <w:rPr>
                <w:rFonts w:ascii="Cambria" w:eastAsia="Calibri" w:hAnsi="Cambria"/>
              </w:rPr>
              <w:t>What Went Well</w:t>
            </w:r>
          </w:p>
        </w:tc>
        <w:tc>
          <w:tcPr>
            <w:tcW w:w="4763"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rPr>
            </w:pPr>
            <w:r>
              <w:rPr>
                <w:rFonts w:ascii="Cambria" w:eastAsia="Calibri" w:hAnsi="Cambria"/>
              </w:rPr>
              <w:t>What Needs Improvement</w:t>
            </w: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All school and LEA staff were trained on the McKinney-Vento Act.</w:t>
            </w:r>
          </w:p>
        </w:tc>
        <w:tc>
          <w:tcPr>
            <w:tcW w:w="6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76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The local homeless liaison was familiar with the State and local homeless dispute resolution policy.</w:t>
            </w:r>
          </w:p>
        </w:tc>
        <w:tc>
          <w:tcPr>
            <w:tcW w:w="6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76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All school and LEA staff were trained on what is required when a parent, guardian, or unaccompanied youth initiates a dispute.</w:t>
            </w:r>
          </w:p>
        </w:tc>
        <w:tc>
          <w:tcPr>
            <w:tcW w:w="6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76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Timelines were clear and reasonable.</w:t>
            </w:r>
          </w:p>
        </w:tc>
        <w:tc>
          <w:tcPr>
            <w:tcW w:w="6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76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The written notice was reviewed for appropriateness.</w:t>
            </w:r>
          </w:p>
        </w:tc>
        <w:tc>
          <w:tcPr>
            <w:tcW w:w="6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76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School and LEA staff were trained in ways to diffuse disagreements and to treat parents, guardians, and unaccompanied youth respectfully.</w:t>
            </w:r>
          </w:p>
        </w:tc>
        <w:tc>
          <w:tcPr>
            <w:tcW w:w="6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76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772"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The local liaison implemented the dispute process according to LEA and SEA policies.</w:t>
            </w:r>
          </w:p>
        </w:tc>
        <w:tc>
          <w:tcPr>
            <w:tcW w:w="6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76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bl>
    <w:p w:rsidR="00615051" w:rsidRDefault="00615051" w:rsidP="00615051">
      <w:pPr>
        <w:spacing w:after="0" w:line="276" w:lineRule="auto"/>
        <w:rPr>
          <w:rFonts w:ascii="Cambria" w:eastAsia="Calibri" w:hAnsi="Cambria" w:cs="Times New Roman"/>
          <w:b/>
          <w:sz w:val="24"/>
          <w:szCs w:val="24"/>
        </w:rPr>
        <w:sectPr w:rsidR="00615051">
          <w:pgSz w:w="12240" w:h="15840"/>
          <w:pgMar w:top="1440" w:right="2160" w:bottom="1440" w:left="2160" w:header="720" w:footer="720" w:gutter="0"/>
          <w:pgNumType w:start="1"/>
          <w:cols w:space="720"/>
        </w:sectPr>
      </w:pPr>
    </w:p>
    <w:tbl>
      <w:tblPr>
        <w:tblStyle w:val="TableGrid1"/>
        <w:tblW w:w="9985" w:type="dxa"/>
        <w:jc w:val="center"/>
        <w:tblInd w:w="0" w:type="dxa"/>
        <w:tblLook w:val="04A0" w:firstRow="1" w:lastRow="0" w:firstColumn="1" w:lastColumn="0" w:noHBand="0" w:noVBand="1"/>
      </w:tblPr>
      <w:tblGrid>
        <w:gridCol w:w="2809"/>
        <w:gridCol w:w="642"/>
        <w:gridCol w:w="2224"/>
        <w:gridCol w:w="4310"/>
      </w:tblGrid>
      <w:tr w:rsidR="00615051" w:rsidTr="00615051">
        <w:trPr>
          <w:jc w:val="center"/>
        </w:trPr>
        <w:tc>
          <w:tcPr>
            <w:tcW w:w="9985" w:type="dxa"/>
            <w:gridSpan w:val="4"/>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lastRenderedPageBreak/>
              <w:t>During</w:t>
            </w: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Issue</w:t>
            </w:r>
          </w:p>
        </w:tc>
        <w:tc>
          <w:tcPr>
            <w:tcW w:w="64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615051" w:rsidRDefault="00615051">
            <w:pPr>
              <w:spacing w:line="240" w:lineRule="auto"/>
              <w:ind w:firstLine="10"/>
              <w:jc w:val="center"/>
              <w:rPr>
                <w:rFonts w:ascii="Cambria" w:eastAsia="Calibri" w:hAnsi="Cambria"/>
                <w:b/>
              </w:rPr>
            </w:pPr>
            <w:r>
              <w:rPr>
                <w:rFonts w:ascii="Wingdings" w:eastAsia="Calibri" w:hAnsi="Wingdings" w:cs="Wingdings"/>
                <w:sz w:val="26"/>
                <w:szCs w:val="26"/>
              </w:rPr>
              <w:t></w:t>
            </w:r>
          </w:p>
        </w:tc>
        <w:tc>
          <w:tcPr>
            <w:tcW w:w="2224"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What Went Well</w:t>
            </w:r>
          </w:p>
        </w:tc>
        <w:tc>
          <w:tcPr>
            <w:tcW w:w="4310"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What Needs Improvement</w:t>
            </w: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Parent, guardian, or unaccompanied youth was provided written notice of the LEA’s decision.</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Local homeless liaison or school staff explained the dispute process.</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 xml:space="preserve">Local homeless liaison ensured that parent or guardian was able to meet deadlines or was </w:t>
            </w:r>
            <w:proofErr w:type="gramStart"/>
            <w:r>
              <w:rPr>
                <w:rFonts w:ascii="Cambria" w:eastAsia="Calibri" w:hAnsi="Cambria"/>
              </w:rPr>
              <w:t>provided assistance</w:t>
            </w:r>
            <w:proofErr w:type="gramEnd"/>
            <w:r>
              <w:rPr>
                <w:rFonts w:ascii="Cambria" w:eastAsia="Calibri" w:hAnsi="Cambria"/>
              </w:rPr>
              <w:t xml:space="preserve"> or flexibility, and addressed other barriers for the parent to implement the process.</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Parent or guardian was referred to advocate or attorney for assistance.</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Local homeless liaison assisted unaccompanied youth with the process.</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School immediately enrolled student in the school where enrollment was sought and provided full services.</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Local liaison obtained information and documentation in appropriate ways.</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Local liaison compiled sufficient information and documents for the State Coordinator or other third parties.</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All necessary parties were apprised of the resolution and their role in its implementation.</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rPr>
          <w:jc w:val="center"/>
        </w:trPr>
        <w:tc>
          <w:tcPr>
            <w:tcW w:w="2809"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If the dispute was not found in the parent, guardian, or unaccompanied youth’s favor, the local liaison discussed the outcome with and worked with the complainant on strategies to implement the solution while keeping the best interest of the child at the forefront.</w:t>
            </w:r>
          </w:p>
        </w:tc>
        <w:tc>
          <w:tcPr>
            <w:tcW w:w="642"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24"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31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bl>
    <w:p w:rsidR="00615051" w:rsidRDefault="00615051" w:rsidP="00615051">
      <w:pPr>
        <w:spacing w:after="0" w:line="240" w:lineRule="auto"/>
        <w:rPr>
          <w:rFonts w:ascii="Cambria" w:eastAsia="Calibri" w:hAnsi="Cambria" w:cs="Times New Roman"/>
          <w:sz w:val="24"/>
          <w:szCs w:val="24"/>
        </w:rPr>
      </w:pPr>
    </w:p>
    <w:p w:rsidR="00615051" w:rsidRDefault="00615051" w:rsidP="00615051">
      <w:pPr>
        <w:spacing w:after="0" w:line="240" w:lineRule="auto"/>
        <w:rPr>
          <w:rFonts w:ascii="Cambria" w:eastAsia="Calibri" w:hAnsi="Cambria" w:cs="Times New Roman"/>
          <w:sz w:val="24"/>
          <w:szCs w:val="24"/>
        </w:rPr>
      </w:pPr>
    </w:p>
    <w:tbl>
      <w:tblPr>
        <w:tblStyle w:val="TableGrid1"/>
        <w:tblW w:w="9990" w:type="dxa"/>
        <w:tblInd w:w="445" w:type="dxa"/>
        <w:tblLook w:val="04A0" w:firstRow="1" w:lastRow="0" w:firstColumn="1" w:lastColumn="0" w:noHBand="0" w:noVBand="1"/>
      </w:tblPr>
      <w:tblGrid>
        <w:gridCol w:w="2863"/>
        <w:gridCol w:w="700"/>
        <w:gridCol w:w="2230"/>
        <w:gridCol w:w="4197"/>
      </w:tblGrid>
      <w:tr w:rsidR="00615051" w:rsidTr="00615051">
        <w:tc>
          <w:tcPr>
            <w:tcW w:w="9990" w:type="dxa"/>
            <w:gridSpan w:val="4"/>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lastRenderedPageBreak/>
              <w:t>After</w:t>
            </w:r>
          </w:p>
        </w:tc>
      </w:tr>
      <w:tr w:rsidR="00615051" w:rsidTr="00615051">
        <w:tc>
          <w:tcPr>
            <w:tcW w:w="2863"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Issue</w:t>
            </w:r>
          </w:p>
        </w:tc>
        <w:tc>
          <w:tcPr>
            <w:tcW w:w="70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615051" w:rsidRDefault="00615051">
            <w:pPr>
              <w:spacing w:line="240" w:lineRule="auto"/>
              <w:jc w:val="center"/>
              <w:rPr>
                <w:rFonts w:ascii="Cambria" w:eastAsia="Calibri" w:hAnsi="Cambria"/>
                <w:b/>
              </w:rPr>
            </w:pPr>
            <w:r>
              <w:rPr>
                <w:rFonts w:ascii="Wingdings" w:eastAsia="Calibri" w:hAnsi="Wingdings" w:cs="Wingdings"/>
                <w:sz w:val="26"/>
                <w:szCs w:val="26"/>
              </w:rPr>
              <w:t></w:t>
            </w:r>
          </w:p>
        </w:tc>
        <w:tc>
          <w:tcPr>
            <w:tcW w:w="2230"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What Went Well</w:t>
            </w:r>
          </w:p>
        </w:tc>
        <w:tc>
          <w:tcPr>
            <w:tcW w:w="4197"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What Needs Improvement</w:t>
            </w:r>
          </w:p>
        </w:tc>
      </w:tr>
      <w:tr w:rsidR="00615051" w:rsidTr="00615051">
        <w:tc>
          <w:tcPr>
            <w:tcW w:w="2863"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The local liaison reviewed the case with all parties involved at the LEA and SEA level for lessons learned.</w:t>
            </w:r>
          </w:p>
        </w:tc>
        <w:tc>
          <w:tcPr>
            <w:tcW w:w="70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3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197"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 xml:space="preserve"> </w:t>
            </w:r>
          </w:p>
        </w:tc>
      </w:tr>
      <w:tr w:rsidR="00615051" w:rsidTr="00615051">
        <w:tc>
          <w:tcPr>
            <w:tcW w:w="2863"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Appropriate changes in procedures and policies were implemented.</w:t>
            </w:r>
          </w:p>
        </w:tc>
        <w:tc>
          <w:tcPr>
            <w:tcW w:w="70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3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1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r w:rsidR="00615051" w:rsidTr="00615051">
        <w:tc>
          <w:tcPr>
            <w:tcW w:w="2863" w:type="dxa"/>
            <w:tcBorders>
              <w:top w:val="single" w:sz="4" w:space="0" w:color="auto"/>
              <w:left w:val="single" w:sz="4" w:space="0" w:color="auto"/>
              <w:bottom w:val="single" w:sz="4" w:space="0" w:color="auto"/>
              <w:right w:val="single" w:sz="4" w:space="0" w:color="auto"/>
            </w:tcBorders>
            <w:hideMark/>
          </w:tcPr>
          <w:p w:rsidR="00615051" w:rsidRDefault="00615051">
            <w:pPr>
              <w:spacing w:line="240" w:lineRule="auto"/>
              <w:rPr>
                <w:rFonts w:ascii="Cambria" w:eastAsia="Calibri" w:hAnsi="Cambria"/>
              </w:rPr>
            </w:pPr>
            <w:r>
              <w:rPr>
                <w:rFonts w:ascii="Cambria" w:eastAsia="Calibri" w:hAnsi="Cambria"/>
              </w:rPr>
              <w:t>School and LEA staff received further training as needed.</w:t>
            </w:r>
          </w:p>
        </w:tc>
        <w:tc>
          <w:tcPr>
            <w:tcW w:w="70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2230"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c>
          <w:tcPr>
            <w:tcW w:w="4197"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rPr>
                <w:rFonts w:ascii="Cambria" w:eastAsia="Calibri" w:hAnsi="Cambria"/>
              </w:rPr>
            </w:pPr>
          </w:p>
        </w:tc>
      </w:tr>
    </w:tbl>
    <w:p w:rsidR="00615051" w:rsidRDefault="00615051" w:rsidP="00615051">
      <w:pPr>
        <w:spacing w:after="200" w:line="276" w:lineRule="auto"/>
        <w:rPr>
          <w:rFonts w:ascii="Calibri" w:eastAsia="Calibri" w:hAnsi="Calibri" w:cs="Times New Roman"/>
        </w:rPr>
      </w:pPr>
    </w:p>
    <w:p w:rsidR="00615051" w:rsidRDefault="00615051" w:rsidP="00615051">
      <w:pPr>
        <w:spacing w:after="200" w:line="276" w:lineRule="auto"/>
        <w:jc w:val="center"/>
        <w:rPr>
          <w:rFonts w:ascii="Cambria" w:eastAsia="Calibri" w:hAnsi="Cambria" w:cs="Times New Roman"/>
          <w:sz w:val="24"/>
          <w:szCs w:val="24"/>
        </w:rPr>
      </w:pPr>
      <w:r>
        <w:rPr>
          <w:rFonts w:ascii="Cambria" w:eastAsia="Calibri" w:hAnsi="Cambria" w:cs="Times New Roman"/>
          <w:sz w:val="24"/>
          <w:szCs w:val="24"/>
        </w:rPr>
        <w:t>Dispute Policy Improvement Action Plan</w:t>
      </w:r>
    </w:p>
    <w:tbl>
      <w:tblPr>
        <w:tblStyle w:val="TableGrid1"/>
        <w:tblW w:w="9990" w:type="dxa"/>
        <w:tblInd w:w="445" w:type="dxa"/>
        <w:tblLook w:val="04A0" w:firstRow="1" w:lastRow="0" w:firstColumn="1" w:lastColumn="0" w:noHBand="0" w:noVBand="1"/>
      </w:tblPr>
      <w:tblGrid>
        <w:gridCol w:w="2803"/>
        <w:gridCol w:w="2786"/>
        <w:gridCol w:w="4401"/>
      </w:tblGrid>
      <w:tr w:rsidR="00615051" w:rsidTr="00615051">
        <w:tc>
          <w:tcPr>
            <w:tcW w:w="2803"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What Needs to be Done</w:t>
            </w:r>
          </w:p>
        </w:tc>
        <w:tc>
          <w:tcPr>
            <w:tcW w:w="2786"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Person Responsible</w:t>
            </w:r>
          </w:p>
        </w:tc>
        <w:tc>
          <w:tcPr>
            <w:tcW w:w="4401" w:type="dxa"/>
            <w:tcBorders>
              <w:top w:val="single" w:sz="4" w:space="0" w:color="auto"/>
              <w:left w:val="single" w:sz="4" w:space="0" w:color="auto"/>
              <w:bottom w:val="single" w:sz="4" w:space="0" w:color="auto"/>
              <w:right w:val="single" w:sz="4" w:space="0" w:color="auto"/>
            </w:tcBorders>
            <w:shd w:val="clear" w:color="auto" w:fill="D6E3BC"/>
            <w:hideMark/>
          </w:tcPr>
          <w:p w:rsidR="00615051" w:rsidRDefault="00615051">
            <w:pPr>
              <w:spacing w:line="240" w:lineRule="auto"/>
              <w:jc w:val="center"/>
              <w:rPr>
                <w:rFonts w:ascii="Cambria" w:eastAsia="Calibri" w:hAnsi="Cambria"/>
                <w:b/>
              </w:rPr>
            </w:pPr>
            <w:r>
              <w:rPr>
                <w:rFonts w:ascii="Cambria" w:eastAsia="Calibri" w:hAnsi="Cambria"/>
                <w:b/>
              </w:rPr>
              <w:t>Deadline</w:t>
            </w:r>
          </w:p>
        </w:tc>
      </w:tr>
      <w:tr w:rsidR="00615051" w:rsidTr="00615051">
        <w:trPr>
          <w:trHeight w:val="683"/>
        </w:trPr>
        <w:tc>
          <w:tcPr>
            <w:tcW w:w="28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2786"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4401"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r>
      <w:tr w:rsidR="00615051" w:rsidTr="00615051">
        <w:trPr>
          <w:trHeight w:val="710"/>
        </w:trPr>
        <w:tc>
          <w:tcPr>
            <w:tcW w:w="28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2786"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4401"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r>
      <w:tr w:rsidR="00615051" w:rsidTr="00615051">
        <w:trPr>
          <w:trHeight w:val="629"/>
        </w:trPr>
        <w:tc>
          <w:tcPr>
            <w:tcW w:w="28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2786"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4401"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r>
      <w:tr w:rsidR="00615051" w:rsidTr="00615051">
        <w:trPr>
          <w:trHeight w:val="701"/>
        </w:trPr>
        <w:tc>
          <w:tcPr>
            <w:tcW w:w="28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2786"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4401"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r>
      <w:tr w:rsidR="00615051" w:rsidTr="00615051">
        <w:trPr>
          <w:trHeight w:val="800"/>
        </w:trPr>
        <w:tc>
          <w:tcPr>
            <w:tcW w:w="2803"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2786"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c>
          <w:tcPr>
            <w:tcW w:w="4401" w:type="dxa"/>
            <w:tcBorders>
              <w:top w:val="single" w:sz="4" w:space="0" w:color="auto"/>
              <w:left w:val="single" w:sz="4" w:space="0" w:color="auto"/>
              <w:bottom w:val="single" w:sz="4" w:space="0" w:color="auto"/>
              <w:right w:val="single" w:sz="4" w:space="0" w:color="auto"/>
            </w:tcBorders>
          </w:tcPr>
          <w:p w:rsidR="00615051" w:rsidRDefault="00615051">
            <w:pPr>
              <w:spacing w:line="240" w:lineRule="auto"/>
              <w:jc w:val="center"/>
              <w:rPr>
                <w:rFonts w:ascii="Cambria" w:eastAsia="Calibri" w:hAnsi="Cambria"/>
              </w:rPr>
            </w:pPr>
          </w:p>
        </w:tc>
      </w:tr>
    </w:tbl>
    <w:p w:rsidR="00A951F7" w:rsidRDefault="00A951F7"/>
    <w:sectPr w:rsidR="00A951F7" w:rsidSect="006150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51"/>
    <w:rsid w:val="0046169F"/>
    <w:rsid w:val="00615051"/>
    <w:rsid w:val="00A951F7"/>
    <w:rsid w:val="00D7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8AAF"/>
  <w15:chartTrackingRefBased/>
  <w15:docId w15:val="{F3B12288-F7AA-41E5-BC11-90D629E7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05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6150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2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3</cp:revision>
  <dcterms:created xsi:type="dcterms:W3CDTF">2021-02-16T19:50:00Z</dcterms:created>
  <dcterms:modified xsi:type="dcterms:W3CDTF">2021-11-10T20:42:00Z</dcterms:modified>
</cp:coreProperties>
</file>