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AF7" w:rsidRDefault="00BD6AF7" w:rsidP="00032F5D">
      <w:pPr>
        <w:pStyle w:val="Title"/>
      </w:pPr>
      <w:bookmarkStart w:id="0" w:name="_Toc488850727"/>
      <w:r w:rsidRPr="00BD6AF7">
        <w:t xml:space="preserve">QUESTIONS AND ANSWERS </w:t>
      </w:r>
    </w:p>
    <w:p w:rsidR="00BD6AF7" w:rsidRDefault="00BD6AF7" w:rsidP="00032F5D">
      <w:pPr>
        <w:pStyle w:val="Title"/>
        <w:rPr>
          <w:rFonts w:ascii="Calibri" w:eastAsiaTheme="minorHAnsi" w:hAnsi="Calibri" w:cstheme="minorBidi"/>
          <w:b w:val="0"/>
          <w:bCs/>
          <w:color w:val="2B63AC" w:themeColor="background2" w:themeShade="80"/>
          <w:kern w:val="0"/>
          <w:sz w:val="32"/>
          <w:szCs w:val="24"/>
        </w:rPr>
      </w:pPr>
      <w:r w:rsidRPr="00BD6AF7">
        <w:rPr>
          <w:rFonts w:ascii="Calibri" w:eastAsiaTheme="minorHAnsi" w:hAnsi="Calibri" w:cstheme="minorBidi"/>
          <w:b w:val="0"/>
          <w:bCs/>
          <w:color w:val="2B63AC" w:themeColor="background2" w:themeShade="80"/>
          <w:kern w:val="0"/>
          <w:sz w:val="32"/>
          <w:szCs w:val="24"/>
        </w:rPr>
        <w:t xml:space="preserve">WRITING POLICIES AND PROCEDURES </w:t>
      </w:r>
    </w:p>
    <w:p w:rsidR="00032F5D" w:rsidRDefault="00BD6AF7" w:rsidP="00032F5D">
      <w:pPr>
        <w:pStyle w:val="Title"/>
        <w:rPr>
          <w:rFonts w:ascii="Calibri" w:eastAsiaTheme="minorHAnsi" w:hAnsi="Calibri" w:cstheme="minorBidi"/>
          <w:b w:val="0"/>
          <w:bCs/>
          <w:color w:val="2B63AC" w:themeColor="background2" w:themeShade="80"/>
          <w:kern w:val="0"/>
          <w:sz w:val="32"/>
          <w:szCs w:val="24"/>
        </w:rPr>
      </w:pPr>
      <w:r w:rsidRPr="00BD6AF7">
        <w:rPr>
          <w:rFonts w:ascii="Calibri" w:eastAsiaTheme="minorHAnsi" w:hAnsi="Calibri" w:cstheme="minorBidi"/>
          <w:b w:val="0"/>
          <w:bCs/>
          <w:color w:val="2B63AC" w:themeColor="background2" w:themeShade="80"/>
          <w:kern w:val="0"/>
          <w:sz w:val="32"/>
          <w:szCs w:val="24"/>
        </w:rPr>
        <w:t xml:space="preserve">UNIFORM GRANT GUIDANCE (UGG) </w:t>
      </w:r>
    </w:p>
    <w:p w:rsidR="00BD6AF7" w:rsidRDefault="00BD6AF7" w:rsidP="00BD6AF7"/>
    <w:p w:rsidR="00147974" w:rsidRPr="00BD6AF7" w:rsidRDefault="00147974" w:rsidP="00BD6AF7">
      <w:pPr>
        <w:pStyle w:val="ListParagraph"/>
        <w:numPr>
          <w:ilvl w:val="0"/>
          <w:numId w:val="35"/>
        </w:numPr>
        <w:rPr>
          <w:rFonts w:cs="Calibri"/>
          <w:szCs w:val="24"/>
        </w:rPr>
      </w:pPr>
      <w:bookmarkStart w:id="1" w:name="_Toc488850728"/>
      <w:bookmarkEnd w:id="0"/>
      <w:r w:rsidRPr="00BD6AF7">
        <w:rPr>
          <w:rFonts w:cs="Calibri"/>
          <w:b/>
          <w:szCs w:val="24"/>
        </w:rPr>
        <w:t>Question:</w:t>
      </w:r>
      <w:r w:rsidRPr="00BD6AF7">
        <w:rPr>
          <w:rFonts w:cs="Calibri"/>
          <w:szCs w:val="24"/>
        </w:rPr>
        <w:t xml:space="preserve"> What is the difference between Policies and Procedures? </w:t>
      </w:r>
    </w:p>
    <w:p w:rsidR="00147974" w:rsidRPr="00BD6AF7" w:rsidRDefault="00147974" w:rsidP="00BD6AF7">
      <w:pPr>
        <w:ind w:left="360"/>
        <w:rPr>
          <w:rFonts w:cs="Calibri"/>
          <w:szCs w:val="24"/>
        </w:rPr>
      </w:pPr>
      <w:r w:rsidRPr="00BD6AF7">
        <w:rPr>
          <w:rFonts w:cs="Calibri"/>
          <w:b/>
          <w:szCs w:val="24"/>
        </w:rPr>
        <w:t>Answer:</w:t>
      </w:r>
      <w:r w:rsidRPr="00BD6AF7">
        <w:rPr>
          <w:rFonts w:cs="Calibri"/>
          <w:szCs w:val="24"/>
        </w:rPr>
        <w:t xml:space="preserve"> Policies = goals. Policies are formal guidance for your LEA and may require </w:t>
      </w:r>
      <w:r w:rsidRPr="00BD6AF7">
        <w:rPr>
          <w:rFonts w:cs="Calibri"/>
          <w:noProof/>
          <w:szCs w:val="24"/>
        </w:rPr>
        <w:t>adoption</w:t>
      </w:r>
      <w:r w:rsidRPr="00BD6AF7">
        <w:rPr>
          <w:rFonts w:cs="Calibri"/>
          <w:szCs w:val="24"/>
        </w:rPr>
        <w:t xml:space="preserve"> by a school board or other governing body. </w:t>
      </w:r>
    </w:p>
    <w:p w:rsidR="00BD6AF7" w:rsidRDefault="00147974" w:rsidP="00BD6AF7">
      <w:pPr>
        <w:ind w:left="360"/>
        <w:rPr>
          <w:rFonts w:cs="Calibri"/>
          <w:szCs w:val="24"/>
        </w:rPr>
      </w:pPr>
      <w:r w:rsidRPr="00BD6AF7">
        <w:rPr>
          <w:rFonts w:cs="Calibri"/>
          <w:szCs w:val="24"/>
        </w:rPr>
        <w:t xml:space="preserve">Procedures = steps that ensure goals are met. The procedures are simply written fiscal steps/processes to achieve your LEA’s goals. Changes in procedures must be internally reviewed by the appropriate staff. Written procedures (as well as policies) are </w:t>
      </w:r>
      <w:r w:rsidRPr="00BD6AF7">
        <w:rPr>
          <w:rFonts w:cs="Calibri"/>
          <w:noProof/>
          <w:szCs w:val="24"/>
        </w:rPr>
        <w:t>evidence</w:t>
      </w:r>
      <w:r w:rsidRPr="00BD6AF7">
        <w:rPr>
          <w:rFonts w:cs="Calibri"/>
          <w:szCs w:val="24"/>
        </w:rPr>
        <w:t xml:space="preserve"> of compliance under all program monitoring tools. Written procedures are also used to train new staff. Procedures and processes do not need to be adopted by the local school board. </w:t>
      </w:r>
    </w:p>
    <w:p w:rsidR="00147974" w:rsidRPr="00BD6AF7" w:rsidRDefault="00147974" w:rsidP="00BD6AF7">
      <w:pPr>
        <w:pStyle w:val="ListParagraph"/>
        <w:numPr>
          <w:ilvl w:val="0"/>
          <w:numId w:val="35"/>
        </w:numPr>
        <w:rPr>
          <w:rFonts w:cs="Calibri"/>
          <w:szCs w:val="24"/>
        </w:rPr>
      </w:pPr>
      <w:r w:rsidRPr="00BD6AF7">
        <w:rPr>
          <w:rFonts w:cs="Calibri"/>
          <w:b/>
          <w:szCs w:val="24"/>
        </w:rPr>
        <w:t>Question:</w:t>
      </w:r>
      <w:r w:rsidRPr="00BD6AF7">
        <w:rPr>
          <w:rFonts w:cs="Calibri"/>
          <w:szCs w:val="24"/>
        </w:rPr>
        <w:t xml:space="preserve"> How do we know which sections require written procedures and which sections require written policies? </w:t>
      </w:r>
    </w:p>
    <w:p w:rsidR="00147974" w:rsidRPr="00BD6AF7" w:rsidRDefault="00147974" w:rsidP="00BD6AF7">
      <w:pPr>
        <w:ind w:left="360"/>
        <w:rPr>
          <w:rFonts w:cs="Calibri"/>
          <w:szCs w:val="24"/>
        </w:rPr>
      </w:pPr>
      <w:r w:rsidRPr="00BD6AF7">
        <w:rPr>
          <w:rFonts w:cs="Calibri"/>
          <w:szCs w:val="24"/>
        </w:rPr>
        <w:t xml:space="preserve">Answer: The exact Federal language is: </w:t>
      </w:r>
    </w:p>
    <w:p w:rsidR="00147974" w:rsidRPr="00CF3505" w:rsidRDefault="00147974" w:rsidP="00CF3505">
      <w:pPr>
        <w:ind w:left="720" w:hanging="360"/>
        <w:rPr>
          <w:rFonts w:cs="Calibri"/>
          <w:szCs w:val="24"/>
        </w:rPr>
      </w:pPr>
      <w:r w:rsidRPr="00CF3505">
        <w:rPr>
          <w:rFonts w:cs="Calibri"/>
          <w:szCs w:val="24"/>
        </w:rPr>
        <w:t xml:space="preserve">Procedures: </w:t>
      </w:r>
    </w:p>
    <w:p w:rsidR="00147974" w:rsidRPr="00BD6AF7" w:rsidRDefault="00147974" w:rsidP="00CF3505">
      <w:pPr>
        <w:pStyle w:val="ListParagraph"/>
        <w:numPr>
          <w:ilvl w:val="0"/>
          <w:numId w:val="36"/>
        </w:numPr>
        <w:ind w:left="1296"/>
        <w:rPr>
          <w:rFonts w:cs="Calibri"/>
          <w:szCs w:val="24"/>
        </w:rPr>
      </w:pPr>
      <w:r w:rsidRPr="00BD6AF7">
        <w:rPr>
          <w:rFonts w:cs="Calibri"/>
          <w:szCs w:val="24"/>
        </w:rPr>
        <w:t xml:space="preserve">Written Cash Management Procedure - § 200.302(b)(6) &amp; § 200.305 </w:t>
      </w:r>
    </w:p>
    <w:p w:rsidR="00147974" w:rsidRPr="00BD6AF7" w:rsidRDefault="00147974" w:rsidP="00CF3505">
      <w:pPr>
        <w:pStyle w:val="ListParagraph"/>
        <w:numPr>
          <w:ilvl w:val="0"/>
          <w:numId w:val="36"/>
        </w:numPr>
        <w:ind w:left="1296"/>
        <w:rPr>
          <w:rFonts w:cs="Calibri"/>
          <w:szCs w:val="24"/>
        </w:rPr>
      </w:pPr>
      <w:r w:rsidRPr="00BD6AF7">
        <w:rPr>
          <w:rFonts w:cs="Calibri"/>
          <w:szCs w:val="24"/>
        </w:rPr>
        <w:t xml:space="preserve">Written Allowability Procedures - § 200.302(b)(7) </w:t>
      </w:r>
    </w:p>
    <w:p w:rsidR="00147974" w:rsidRPr="00BD6AF7" w:rsidRDefault="00147974" w:rsidP="00CF3505">
      <w:pPr>
        <w:pStyle w:val="ListParagraph"/>
        <w:numPr>
          <w:ilvl w:val="0"/>
          <w:numId w:val="36"/>
        </w:numPr>
        <w:ind w:left="1296"/>
        <w:rPr>
          <w:rFonts w:cs="Calibri"/>
          <w:szCs w:val="24"/>
        </w:rPr>
      </w:pPr>
      <w:r w:rsidRPr="00BD6AF7">
        <w:rPr>
          <w:rFonts w:cs="Calibri"/>
          <w:szCs w:val="24"/>
        </w:rPr>
        <w:t>Written Procurement Procedures - § 200.</w:t>
      </w:r>
      <w:r w:rsidR="00974AFF">
        <w:rPr>
          <w:rFonts w:cs="Calibri"/>
          <w:szCs w:val="24"/>
        </w:rPr>
        <w:t>320</w:t>
      </w:r>
      <w:r w:rsidRPr="00BD6AF7">
        <w:rPr>
          <w:rFonts w:cs="Calibri"/>
          <w:szCs w:val="24"/>
        </w:rPr>
        <w:t xml:space="preserve"> </w:t>
      </w:r>
    </w:p>
    <w:p w:rsidR="00147974" w:rsidRPr="00BD6AF7" w:rsidRDefault="00147974" w:rsidP="00CF3505">
      <w:pPr>
        <w:pStyle w:val="ListParagraph"/>
        <w:numPr>
          <w:ilvl w:val="0"/>
          <w:numId w:val="36"/>
        </w:numPr>
        <w:ind w:left="1296"/>
        <w:rPr>
          <w:rFonts w:cs="Calibri"/>
          <w:szCs w:val="24"/>
        </w:rPr>
      </w:pPr>
      <w:r w:rsidRPr="00BD6AF7">
        <w:rPr>
          <w:rFonts w:cs="Calibri"/>
          <w:szCs w:val="24"/>
        </w:rPr>
        <w:t xml:space="preserve">Time and Effort: the exact language is “records”. Records: § 200.430. NEW: Charges for salaries must be based on records that accurately reflect the work performed and be incorporated into official records. “Records” is the same as “documented procedures”. </w:t>
      </w:r>
    </w:p>
    <w:p w:rsidR="00147974" w:rsidRPr="00BD6AF7" w:rsidRDefault="00147974" w:rsidP="00CF3505">
      <w:pPr>
        <w:ind w:left="576"/>
        <w:rPr>
          <w:rFonts w:cs="Calibri"/>
          <w:szCs w:val="24"/>
        </w:rPr>
      </w:pPr>
      <w:r w:rsidRPr="00BD6AF7">
        <w:rPr>
          <w:rFonts w:cs="Calibri"/>
          <w:szCs w:val="24"/>
        </w:rPr>
        <w:t xml:space="preserve">Policies: </w:t>
      </w:r>
    </w:p>
    <w:p w:rsidR="00147974" w:rsidRPr="00BD6AF7" w:rsidRDefault="00147974" w:rsidP="00BD6AF7">
      <w:pPr>
        <w:pStyle w:val="ListParagraph"/>
        <w:numPr>
          <w:ilvl w:val="0"/>
          <w:numId w:val="37"/>
        </w:numPr>
        <w:ind w:left="1080"/>
        <w:rPr>
          <w:rFonts w:cs="Calibri"/>
          <w:szCs w:val="24"/>
        </w:rPr>
      </w:pPr>
      <w:r w:rsidRPr="00BD6AF7">
        <w:rPr>
          <w:rFonts w:cs="Calibri"/>
          <w:szCs w:val="24"/>
        </w:rPr>
        <w:t xml:space="preserve"> Written Conflicts of Interest Policy - § 200.318(c) </w:t>
      </w:r>
    </w:p>
    <w:p w:rsidR="00147974" w:rsidRPr="00BD6AF7" w:rsidRDefault="00147974" w:rsidP="00BD6AF7">
      <w:pPr>
        <w:pStyle w:val="ListParagraph"/>
        <w:numPr>
          <w:ilvl w:val="0"/>
          <w:numId w:val="37"/>
        </w:numPr>
        <w:ind w:left="1080"/>
        <w:rPr>
          <w:rFonts w:cs="Calibri"/>
          <w:szCs w:val="24"/>
        </w:rPr>
      </w:pPr>
      <w:r w:rsidRPr="00BD6AF7">
        <w:rPr>
          <w:rFonts w:cs="Calibri"/>
          <w:szCs w:val="24"/>
        </w:rPr>
        <w:t xml:space="preserve"> Written Travel Policy - § 200.</w:t>
      </w:r>
      <w:r w:rsidR="005402B1">
        <w:rPr>
          <w:rFonts w:cs="Calibri"/>
          <w:szCs w:val="24"/>
        </w:rPr>
        <w:t>475(b)</w:t>
      </w:r>
      <w:r w:rsidRPr="00BD6AF7">
        <w:rPr>
          <w:rFonts w:cs="Calibri"/>
          <w:szCs w:val="24"/>
        </w:rPr>
        <w:t xml:space="preserve"> </w:t>
      </w:r>
    </w:p>
    <w:p w:rsidR="00147974" w:rsidRPr="00BD6AF7" w:rsidRDefault="00147974" w:rsidP="00BD6AF7">
      <w:pPr>
        <w:rPr>
          <w:rFonts w:cs="Calibri"/>
          <w:szCs w:val="24"/>
        </w:rPr>
      </w:pPr>
    </w:p>
    <w:p w:rsidR="00147974" w:rsidRPr="00BD6AF7" w:rsidRDefault="00147974" w:rsidP="00BD6AF7">
      <w:pPr>
        <w:pStyle w:val="ListParagraph"/>
        <w:numPr>
          <w:ilvl w:val="0"/>
          <w:numId w:val="35"/>
        </w:numPr>
        <w:rPr>
          <w:rFonts w:cs="Calibri"/>
          <w:szCs w:val="24"/>
        </w:rPr>
      </w:pPr>
      <w:r w:rsidRPr="00BD6AF7">
        <w:rPr>
          <w:rFonts w:cs="Calibri"/>
          <w:b/>
          <w:szCs w:val="24"/>
        </w:rPr>
        <w:t>Question:</w:t>
      </w:r>
      <w:r w:rsidRPr="00BD6AF7">
        <w:rPr>
          <w:rFonts w:cs="Calibri"/>
          <w:szCs w:val="24"/>
        </w:rPr>
        <w:t xml:space="preserve"> Are we expected to create and adopt new policies or simply describe our existing procedures in writing? </w:t>
      </w:r>
    </w:p>
    <w:p w:rsidR="00147974" w:rsidRPr="00BD6AF7" w:rsidRDefault="00147974" w:rsidP="00BD6AF7">
      <w:pPr>
        <w:ind w:left="360"/>
        <w:rPr>
          <w:rFonts w:cs="Calibri"/>
          <w:szCs w:val="24"/>
        </w:rPr>
      </w:pPr>
      <w:r w:rsidRPr="00BD6AF7">
        <w:rPr>
          <w:rFonts w:cs="Calibri"/>
          <w:b/>
          <w:szCs w:val="24"/>
        </w:rPr>
        <w:lastRenderedPageBreak/>
        <w:t>Answer:</w:t>
      </w:r>
      <w:r w:rsidRPr="00BD6AF7">
        <w:rPr>
          <w:rFonts w:cs="Calibri"/>
          <w:szCs w:val="24"/>
        </w:rPr>
        <w:t xml:space="preserve"> If your LEA’s existing policies and procedures satisfy new Uniform Grant Guidance compliance requirements, you don’t need to create new policies and procedures. You can simply cross reference your existing policies and procedures. </w:t>
      </w:r>
    </w:p>
    <w:p w:rsidR="00147974" w:rsidRPr="00BD6AF7" w:rsidRDefault="00147974" w:rsidP="00BD6AF7">
      <w:pPr>
        <w:ind w:left="360"/>
        <w:rPr>
          <w:rFonts w:cs="Calibri"/>
          <w:szCs w:val="24"/>
        </w:rPr>
      </w:pPr>
      <w:r w:rsidRPr="00BD6AF7">
        <w:rPr>
          <w:rFonts w:cs="Calibri"/>
          <w:szCs w:val="24"/>
        </w:rPr>
        <w:t xml:space="preserve">Federal rules require State-level and LEA-level requirements and policies regarding expenditures to be followed. The provided template located at </w:t>
      </w:r>
      <w:hyperlink r:id="rId9" w:history="1">
        <w:r w:rsidR="005402B1" w:rsidRPr="00F85C40">
          <w:rPr>
            <w:rStyle w:val="Hyperlink"/>
            <w:rFonts w:cs="Calibri"/>
            <w:szCs w:val="24"/>
          </w:rPr>
          <w:t>https://www.sde.idaho.gov/federal-programs/funding/files/grant-guidance/LEA-Policies-and-procedures-template-updated-05-01-2021.docx</w:t>
        </w:r>
      </w:hyperlink>
      <w:bookmarkStart w:id="2" w:name="_GoBack"/>
      <w:bookmarkEnd w:id="2"/>
      <w:r w:rsidR="00F85C40">
        <w:rPr>
          <w:rFonts w:cs="Calibri"/>
          <w:szCs w:val="24"/>
        </w:rPr>
        <w:t>.</w:t>
      </w:r>
    </w:p>
    <w:p w:rsidR="00147974" w:rsidRPr="00BD6AF7" w:rsidRDefault="00147974" w:rsidP="00BD6AF7">
      <w:pPr>
        <w:ind w:left="360"/>
        <w:rPr>
          <w:rFonts w:cs="Calibri"/>
          <w:szCs w:val="24"/>
        </w:rPr>
      </w:pPr>
      <w:r w:rsidRPr="00BD6AF7">
        <w:rPr>
          <w:rFonts w:cs="Calibri"/>
          <w:szCs w:val="24"/>
        </w:rPr>
        <w:t xml:space="preserve">(New Uniform Grant Guidance Tab) has already been adjusted to reflect the State caps (maximum allowable/limits). Make sure your LEA’s caps do not exceed the State caps. The stricter LEA or State guidance must be followed. </w:t>
      </w:r>
    </w:p>
    <w:p w:rsidR="00BD6AF7" w:rsidRDefault="00147974" w:rsidP="00BD6AF7">
      <w:pPr>
        <w:ind w:left="360"/>
        <w:rPr>
          <w:rFonts w:cs="Calibri"/>
          <w:szCs w:val="24"/>
        </w:rPr>
      </w:pPr>
      <w:r w:rsidRPr="00BD6AF7">
        <w:rPr>
          <w:rFonts w:cs="Calibri"/>
          <w:szCs w:val="24"/>
        </w:rPr>
        <w:t xml:space="preserve">Please refer to Question #1 for the definitions of policies and procedures. Please refer to Question #2 to determine what sections require written policies and what sections require written procedures. </w:t>
      </w:r>
    </w:p>
    <w:p w:rsidR="00147974" w:rsidRPr="00BD6AF7" w:rsidRDefault="00147974" w:rsidP="00BD6AF7">
      <w:pPr>
        <w:pStyle w:val="ListParagraph"/>
        <w:numPr>
          <w:ilvl w:val="0"/>
          <w:numId w:val="35"/>
        </w:numPr>
        <w:rPr>
          <w:rFonts w:cs="Calibri"/>
          <w:szCs w:val="24"/>
        </w:rPr>
      </w:pPr>
      <w:r w:rsidRPr="00BD6AF7">
        <w:rPr>
          <w:rFonts w:cs="Calibri"/>
          <w:b/>
          <w:szCs w:val="24"/>
        </w:rPr>
        <w:t>Question</w:t>
      </w:r>
      <w:r w:rsidRPr="00BD6AF7">
        <w:rPr>
          <w:rFonts w:cs="Calibri"/>
          <w:szCs w:val="24"/>
        </w:rPr>
        <w:t xml:space="preserve">: We already have written LEA policies and procedures. Do we have to incorporate them into the provided Uniform Grant Guidance template? </w:t>
      </w:r>
    </w:p>
    <w:p w:rsidR="00147974" w:rsidRPr="00BD6AF7" w:rsidRDefault="00147974" w:rsidP="00BD6AF7">
      <w:pPr>
        <w:ind w:left="360"/>
        <w:rPr>
          <w:rFonts w:cs="Calibri"/>
          <w:szCs w:val="24"/>
        </w:rPr>
      </w:pPr>
      <w:r w:rsidRPr="00BD6AF7">
        <w:rPr>
          <w:rFonts w:cs="Calibri"/>
          <w:b/>
          <w:szCs w:val="24"/>
        </w:rPr>
        <w:t>Answer:</w:t>
      </w:r>
      <w:r w:rsidRPr="00BD6AF7">
        <w:rPr>
          <w:rFonts w:cs="Calibri"/>
          <w:szCs w:val="24"/>
        </w:rPr>
        <w:t xml:space="preserve"> No. This template is provided to you as a resource document only and does not constitute legal advice. You can simply cross reference your existing policies and procedures as long as your LEA’s existing policies and procedures satisfy the Uniform Grant Guidance compliance requirements. See Question #3 for more information. </w:t>
      </w:r>
    </w:p>
    <w:p w:rsidR="00147974" w:rsidRPr="00BD6AF7" w:rsidRDefault="00147974" w:rsidP="00BD6AF7">
      <w:pPr>
        <w:pStyle w:val="ListParagraph"/>
        <w:numPr>
          <w:ilvl w:val="0"/>
          <w:numId w:val="35"/>
        </w:numPr>
        <w:rPr>
          <w:rFonts w:cs="Calibri"/>
          <w:szCs w:val="24"/>
        </w:rPr>
      </w:pPr>
      <w:r w:rsidRPr="00BD6AF7">
        <w:rPr>
          <w:rFonts w:cs="Calibri"/>
          <w:szCs w:val="24"/>
        </w:rPr>
        <w:t xml:space="preserve"> </w:t>
      </w:r>
      <w:r w:rsidRPr="00BD6AF7">
        <w:rPr>
          <w:rFonts w:cs="Calibri"/>
          <w:b/>
          <w:szCs w:val="24"/>
        </w:rPr>
        <w:t>Question:</w:t>
      </w:r>
      <w:r w:rsidRPr="00BD6AF7">
        <w:rPr>
          <w:rFonts w:cs="Calibri"/>
          <w:szCs w:val="24"/>
        </w:rPr>
        <w:t xml:space="preserve"> What are the implementation dates for the new guidance? Do we need to have it in place before we can apply for 20</w:t>
      </w:r>
      <w:r w:rsidR="005402B1">
        <w:rPr>
          <w:rFonts w:cs="Calibri"/>
          <w:szCs w:val="24"/>
        </w:rPr>
        <w:t>21</w:t>
      </w:r>
      <w:r w:rsidRPr="00BD6AF7">
        <w:rPr>
          <w:rFonts w:cs="Calibri"/>
          <w:szCs w:val="24"/>
        </w:rPr>
        <w:t>-</w:t>
      </w:r>
      <w:r w:rsidR="005402B1">
        <w:rPr>
          <w:rFonts w:cs="Calibri"/>
          <w:szCs w:val="24"/>
        </w:rPr>
        <w:t>22</w:t>
      </w:r>
      <w:r w:rsidRPr="00BD6AF7">
        <w:rPr>
          <w:rFonts w:cs="Calibri"/>
          <w:szCs w:val="24"/>
        </w:rPr>
        <w:t xml:space="preserve"> Federal grants? It takes time to get LEA’s Policy developed/updated and approved. </w:t>
      </w:r>
    </w:p>
    <w:p w:rsidR="00147974" w:rsidRPr="00BD6AF7" w:rsidRDefault="00147974" w:rsidP="00BD6AF7">
      <w:pPr>
        <w:ind w:left="360"/>
        <w:rPr>
          <w:rFonts w:cs="Calibri"/>
          <w:szCs w:val="24"/>
        </w:rPr>
      </w:pPr>
      <w:r w:rsidRPr="00BD6AF7">
        <w:rPr>
          <w:rFonts w:cs="Calibri"/>
          <w:b/>
          <w:szCs w:val="24"/>
        </w:rPr>
        <w:t xml:space="preserve">Answer: </w:t>
      </w:r>
      <w:r w:rsidRPr="00BD6AF7">
        <w:rPr>
          <w:rFonts w:cs="Calibri"/>
          <w:szCs w:val="24"/>
        </w:rPr>
        <w:t xml:space="preserve">The Uniform Guidance applies to all new grant awards and non-competing continuations made on or after 12/26/2014 (see 2 CFR § 200.110). </w:t>
      </w:r>
    </w:p>
    <w:p w:rsidR="00147974" w:rsidRPr="00BD6AF7" w:rsidRDefault="00147974" w:rsidP="00BD6AF7">
      <w:pPr>
        <w:ind w:left="360"/>
        <w:rPr>
          <w:rFonts w:cs="Calibri"/>
          <w:szCs w:val="24"/>
        </w:rPr>
      </w:pPr>
      <w:r w:rsidRPr="00BD6AF7">
        <w:rPr>
          <w:rFonts w:cs="Calibri"/>
          <w:szCs w:val="24"/>
        </w:rPr>
        <w:t>CFSGA and IDEA part B applications include an electronic assurance page. The assurance page includes a section where an LEA agrees to adopt policies and procedures as required by new Uniform Grant Guidance (C.F.R. Part 200). By agreeing to adopt new EDGAR changes you can apply for 20</w:t>
      </w:r>
      <w:r w:rsidR="005402B1">
        <w:rPr>
          <w:rFonts w:cs="Calibri"/>
          <w:szCs w:val="24"/>
        </w:rPr>
        <w:t>21</w:t>
      </w:r>
      <w:r w:rsidRPr="00BD6AF7">
        <w:rPr>
          <w:rFonts w:cs="Calibri"/>
          <w:szCs w:val="24"/>
        </w:rPr>
        <w:t>-</w:t>
      </w:r>
      <w:r w:rsidR="005402B1">
        <w:rPr>
          <w:rFonts w:cs="Calibri"/>
          <w:szCs w:val="24"/>
        </w:rPr>
        <w:t>22</w:t>
      </w:r>
      <w:r w:rsidRPr="00BD6AF7">
        <w:rPr>
          <w:rFonts w:cs="Calibri"/>
          <w:szCs w:val="24"/>
        </w:rPr>
        <w:t xml:space="preserve"> Federal funds and receive preliminary approval. </w:t>
      </w:r>
    </w:p>
    <w:p w:rsidR="00147974" w:rsidRPr="00BD6AF7" w:rsidRDefault="00147974" w:rsidP="00BD6AF7">
      <w:pPr>
        <w:pStyle w:val="ListParagraph"/>
        <w:numPr>
          <w:ilvl w:val="0"/>
          <w:numId w:val="35"/>
        </w:numPr>
        <w:rPr>
          <w:rFonts w:cs="Calibri"/>
          <w:szCs w:val="24"/>
        </w:rPr>
      </w:pPr>
      <w:r w:rsidRPr="00BD6AF7">
        <w:rPr>
          <w:rFonts w:cs="Calibri"/>
          <w:b/>
          <w:szCs w:val="24"/>
        </w:rPr>
        <w:t>Question:</w:t>
      </w:r>
      <w:r w:rsidRPr="00BD6AF7">
        <w:rPr>
          <w:rFonts w:cs="Calibri"/>
          <w:szCs w:val="24"/>
        </w:rPr>
        <w:t xml:space="preserve"> One of the Time and Effort requirements is that an LEA has to have a written procedure for an employee who is separating service from that LEA. It talks about Final Certification. What is a Final Certification? </w:t>
      </w:r>
    </w:p>
    <w:p w:rsidR="00147974" w:rsidRPr="00BD6AF7" w:rsidRDefault="00147974" w:rsidP="00BD6AF7">
      <w:pPr>
        <w:rPr>
          <w:rFonts w:cs="Calibri"/>
          <w:szCs w:val="24"/>
        </w:rPr>
      </w:pPr>
    </w:p>
    <w:p w:rsidR="00147974" w:rsidRPr="00BD6AF7" w:rsidRDefault="00147974" w:rsidP="00BD6AF7">
      <w:pPr>
        <w:ind w:left="720"/>
        <w:rPr>
          <w:rFonts w:cs="Calibri"/>
          <w:szCs w:val="24"/>
        </w:rPr>
      </w:pPr>
      <w:r w:rsidRPr="00BD6AF7">
        <w:rPr>
          <w:rFonts w:cs="Calibri"/>
          <w:b/>
          <w:szCs w:val="24"/>
        </w:rPr>
        <w:lastRenderedPageBreak/>
        <w:t xml:space="preserve">Answer: </w:t>
      </w:r>
      <w:r w:rsidRPr="00BD6AF7">
        <w:rPr>
          <w:rFonts w:cs="Calibri"/>
          <w:szCs w:val="24"/>
        </w:rPr>
        <w:t xml:space="preserve">Final Certification is a final “positive time and effort” document comparable to the former PAR or semi-annual (whichever applies) for an employee who is separating service from your LEA. It has to be submitted to HR on the last day of employment (preferably). See Question #2, Time and Effort for additional information. </w:t>
      </w:r>
    </w:p>
    <w:p w:rsidR="00147974" w:rsidRPr="00BD6AF7" w:rsidRDefault="00147974" w:rsidP="00BD6AF7">
      <w:pPr>
        <w:pStyle w:val="ListParagraph"/>
        <w:numPr>
          <w:ilvl w:val="0"/>
          <w:numId w:val="35"/>
        </w:numPr>
        <w:rPr>
          <w:rFonts w:cs="Calibri"/>
          <w:szCs w:val="24"/>
        </w:rPr>
      </w:pPr>
      <w:r w:rsidRPr="00BD6AF7">
        <w:rPr>
          <w:rFonts w:cs="Calibri"/>
          <w:b/>
          <w:szCs w:val="24"/>
        </w:rPr>
        <w:t>Question:</w:t>
      </w:r>
      <w:r w:rsidRPr="00BD6AF7">
        <w:rPr>
          <w:rFonts w:cs="Calibri"/>
          <w:szCs w:val="24"/>
        </w:rPr>
        <w:t xml:space="preserve"> Under Record Retention, does the State have a record retention schedule and where is it? </w:t>
      </w:r>
    </w:p>
    <w:p w:rsidR="00BD6AF7" w:rsidRDefault="00147974" w:rsidP="00BD6AF7">
      <w:pPr>
        <w:ind w:left="360"/>
        <w:rPr>
          <w:rFonts w:cs="Calibri"/>
          <w:szCs w:val="24"/>
        </w:rPr>
      </w:pPr>
      <w:r w:rsidRPr="00BD6AF7">
        <w:rPr>
          <w:rFonts w:cs="Calibri"/>
          <w:b/>
          <w:szCs w:val="24"/>
        </w:rPr>
        <w:t>Answer:</w:t>
      </w:r>
      <w:r w:rsidRPr="00BD6AF7">
        <w:rPr>
          <w:rFonts w:cs="Calibri"/>
          <w:szCs w:val="24"/>
        </w:rPr>
        <w:t xml:space="preserve"> The State’s Record Retention schedules are maintained by the Idaho State Historical Society, located here:</w:t>
      </w:r>
      <w:r w:rsidR="00BD6AF7">
        <w:rPr>
          <w:rFonts w:cs="Calibri"/>
          <w:szCs w:val="24"/>
        </w:rPr>
        <w:t xml:space="preserve"> </w:t>
      </w:r>
      <w:hyperlink r:id="rId10" w:tooltip="link to the Idaho state historical webpage" w:history="1">
        <w:r w:rsidR="00BD6AF7" w:rsidRPr="006A4293">
          <w:rPr>
            <w:rStyle w:val="Hyperlink"/>
            <w:rFonts w:cs="Calibri"/>
            <w:szCs w:val="24"/>
          </w:rPr>
          <w:t>http://history.idaho.gov/idaho-records-center-retention-schedules</w:t>
        </w:r>
      </w:hyperlink>
      <w:r w:rsidR="00BD6AF7">
        <w:rPr>
          <w:rFonts w:cs="Calibri"/>
          <w:szCs w:val="24"/>
        </w:rPr>
        <w:t xml:space="preserve"> </w:t>
      </w:r>
      <w:r w:rsidRPr="00BD6AF7">
        <w:rPr>
          <w:rFonts w:cs="Calibri"/>
          <w:szCs w:val="24"/>
        </w:rPr>
        <w:t xml:space="preserve"> </w:t>
      </w:r>
    </w:p>
    <w:p w:rsidR="00147974" w:rsidRPr="00BD6AF7" w:rsidRDefault="00BD6AF7" w:rsidP="00BD6AF7">
      <w:pPr>
        <w:pStyle w:val="ListParagraph"/>
        <w:numPr>
          <w:ilvl w:val="0"/>
          <w:numId w:val="35"/>
        </w:numPr>
        <w:rPr>
          <w:rFonts w:cs="Calibri"/>
          <w:szCs w:val="24"/>
        </w:rPr>
      </w:pPr>
      <w:r w:rsidRPr="00BD6AF7">
        <w:rPr>
          <w:rFonts w:cs="Calibri"/>
          <w:b/>
          <w:szCs w:val="24"/>
        </w:rPr>
        <w:t>Question:</w:t>
      </w:r>
      <w:r w:rsidRPr="00BD6AF7">
        <w:rPr>
          <w:rFonts w:cs="Calibri"/>
          <w:szCs w:val="24"/>
        </w:rPr>
        <w:t xml:space="preserve"> </w:t>
      </w:r>
      <w:r w:rsidR="00147974" w:rsidRPr="00BD6AF7">
        <w:rPr>
          <w:rFonts w:cs="Calibri"/>
          <w:szCs w:val="24"/>
        </w:rPr>
        <w:t xml:space="preserve">Can legal or accounting fees be charged to Federal funds if the purchase benefits a program directly? </w:t>
      </w:r>
    </w:p>
    <w:p w:rsidR="00147974" w:rsidRPr="00BD6AF7" w:rsidRDefault="00147974" w:rsidP="00BD6AF7">
      <w:pPr>
        <w:ind w:left="360"/>
        <w:rPr>
          <w:rFonts w:cs="Calibri"/>
          <w:szCs w:val="24"/>
        </w:rPr>
      </w:pPr>
      <w:r w:rsidRPr="00BD6AF7">
        <w:rPr>
          <w:rFonts w:cs="Calibri"/>
          <w:b/>
          <w:szCs w:val="24"/>
        </w:rPr>
        <w:t xml:space="preserve">Answer: </w:t>
      </w:r>
      <w:r w:rsidRPr="00BD6AF7">
        <w:rPr>
          <w:rFonts w:cs="Calibri"/>
          <w:szCs w:val="24"/>
        </w:rPr>
        <w:t>It depends on what the legal fees are for. If it is in reference to purchasing the services in compiling policies and procedures due to new Uniform Grant Guidance, that would be an allowable charge to a federal grant. The cost has to be reasonable for your LEA and be comparable to market prices</w:t>
      </w:r>
    </w:p>
    <w:bookmarkEnd w:id="1"/>
    <w:sectPr w:rsidR="00147974" w:rsidRPr="00BD6AF7" w:rsidSect="00032F5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8EA" w:rsidRDefault="002B28EA">
      <w:pPr>
        <w:spacing w:after="0" w:line="240" w:lineRule="auto"/>
      </w:pPr>
      <w:r>
        <w:separator/>
      </w:r>
    </w:p>
  </w:endnote>
  <w:endnote w:type="continuationSeparator" w:id="0">
    <w:p w:rsidR="002B28EA" w:rsidRDefault="002B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panose1 w:val="020B0706030804020204"/>
    <w:charset w:val="00"/>
    <w:family w:val="swiss"/>
    <w:pitch w:val="variable"/>
    <w:sig w:usb0="E00002EF" w:usb1="4000205B" w:usb2="00000028" w:usb3="00000000" w:csb0="0000019F" w:csb1="00000000"/>
  </w:font>
  <w:font w:name="Open Sans Extrabold">
    <w:altName w:val="Segoe UI Semibold"/>
    <w:panose1 w:val="020B0906030804020204"/>
    <w:charset w:val="00"/>
    <w:family w:val="swiss"/>
    <w:pitch w:val="variable"/>
    <w:sig w:usb0="E00002EF" w:usb1="4000205B" w:usb2="00000028" w:usb3="00000000" w:csb0="0000019F" w:csb1="00000000"/>
  </w:font>
  <w:font w:name="Merriweather">
    <w:altName w:val="Cambria Math"/>
    <w:charset w:val="00"/>
    <w:family w:val="roman"/>
    <w:pitch w:val="variable"/>
    <w:sig w:usb0="00000003" w:usb1="5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BEB" w:rsidRDefault="00BF4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BF4BEB" w:rsidP="00D550CF">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updated</w:t>
    </w:r>
    <w:r w:rsidR="00D550CF" w:rsidRPr="00132C9E">
      <w:rPr>
        <w:rFonts w:ascii="Calibri" w:hAnsi="Calibri" w:cs="Open Sans"/>
        <w:color w:val="5C5C5C" w:themeColor="text1" w:themeTint="BF"/>
      </w:rPr>
      <w:t xml:space="preserve"> </w:t>
    </w:r>
    <w:r>
      <w:rPr>
        <w:rFonts w:ascii="Calibri" w:hAnsi="Calibri" w:cs="Open Sans"/>
        <w:color w:val="5C5C5C" w:themeColor="text1" w:themeTint="BF"/>
      </w:rPr>
      <w:t>01</w:t>
    </w:r>
    <w:r w:rsidR="00D550CF" w:rsidRPr="00132C9E">
      <w:rPr>
        <w:rFonts w:ascii="Calibri" w:hAnsi="Calibri" w:cs="Open Sans"/>
        <w:color w:val="5C5C5C" w:themeColor="text1" w:themeTint="BF"/>
      </w:rPr>
      <w:t>/</w:t>
    </w:r>
    <w:r>
      <w:rPr>
        <w:rFonts w:ascii="Calibri" w:hAnsi="Calibri" w:cs="Open Sans"/>
        <w:color w:val="5C5C5C" w:themeColor="text1" w:themeTint="BF"/>
      </w:rPr>
      <w:t>14</w:t>
    </w:r>
    <w:r w:rsidR="00D550CF" w:rsidRPr="00132C9E">
      <w:rPr>
        <w:rFonts w:ascii="Calibri" w:hAnsi="Calibri" w:cs="Open Sans"/>
        <w:color w:val="5C5C5C" w:themeColor="text1" w:themeTint="BF"/>
      </w:rPr>
      <w:t>/</w:t>
    </w:r>
    <w:r>
      <w:rPr>
        <w:rFonts w:ascii="Calibri" w:hAnsi="Calibri" w:cs="Open Sans"/>
        <w:color w:val="5C5C5C" w:themeColor="text1" w:themeTint="BF"/>
      </w:rPr>
      <w:t>2019</w:t>
    </w:r>
    <w:r w:rsidR="00D550CF" w:rsidRPr="00132C9E">
      <w:rPr>
        <w:rFonts w:ascii="Calibri" w:hAnsi="Calibri"/>
        <w:color w:val="5C5C5C" w:themeColor="text1" w:themeTint="BF"/>
      </w:rPr>
      <w:ptab w:relativeTo="margin" w:alignment="right" w:leader="none"/>
    </w:r>
    <w:r w:rsidR="00D550CF" w:rsidRPr="00132C9E">
      <w:rPr>
        <w:rFonts w:ascii="Calibri" w:hAnsi="Calibri" w:cs="Open Sans Semibold"/>
        <w:color w:val="112845" w:themeColor="text2" w:themeShade="BF"/>
      </w:rPr>
      <w:t>&lt;&lt;</w:t>
    </w:r>
    <w:r>
      <w:rPr>
        <w:rFonts w:ascii="Calibri" w:hAnsi="Calibri" w:cs="Open Sans Semibold"/>
        <w:color w:val="112845" w:themeColor="text2" w:themeShade="BF"/>
      </w:rPr>
      <w:t>FAQ</w:t>
    </w:r>
    <w:r w:rsidR="00D550CF" w:rsidRPr="00132C9E">
      <w:rPr>
        <w:rFonts w:ascii="Calibri" w:hAnsi="Calibri" w:cs="Open Sans Semibold"/>
        <w:color w:val="112845" w:themeColor="text2" w:themeShade="BF"/>
      </w:rPr>
      <w:t>&gt;&gt;</w:t>
    </w:r>
    <w:r w:rsidR="00D550CF">
      <w:rPr>
        <w:rFonts w:ascii="Calibri" w:hAnsi="Calibri" w:cs="Open Sans Semibold"/>
        <w:color w:val="112845" w:themeColor="text2" w:themeShade="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Pr>
        <w:rFonts w:ascii="Calibri" w:hAnsi="Calibri" w:cs="Open Sans"/>
        <w:color w:val="5C5C5C" w:themeColor="text1" w:themeTint="BF"/>
      </w:rPr>
      <w:t>Federal Programs</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SDE</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3</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BF4BEB" w:rsidP="006B5881">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updated</w:t>
    </w:r>
    <w:r w:rsidRPr="00132C9E">
      <w:rPr>
        <w:rFonts w:ascii="Calibri" w:hAnsi="Calibri" w:cs="Open Sans"/>
        <w:color w:val="5C5C5C" w:themeColor="text1" w:themeTint="BF"/>
      </w:rPr>
      <w:t xml:space="preserve"> </w:t>
    </w:r>
    <w:r>
      <w:rPr>
        <w:rFonts w:ascii="Calibri" w:hAnsi="Calibri" w:cs="Open Sans"/>
        <w:color w:val="5C5C5C" w:themeColor="text1" w:themeTint="BF"/>
      </w:rPr>
      <w:t>01</w:t>
    </w:r>
    <w:r w:rsidRPr="00132C9E">
      <w:rPr>
        <w:rFonts w:ascii="Calibri" w:hAnsi="Calibri" w:cs="Open Sans"/>
        <w:color w:val="5C5C5C" w:themeColor="text1" w:themeTint="BF"/>
      </w:rPr>
      <w:t>/</w:t>
    </w:r>
    <w:r>
      <w:rPr>
        <w:rFonts w:ascii="Calibri" w:hAnsi="Calibri" w:cs="Open Sans"/>
        <w:color w:val="5C5C5C" w:themeColor="text1" w:themeTint="BF"/>
      </w:rPr>
      <w:t>14</w:t>
    </w:r>
    <w:r w:rsidRPr="00132C9E">
      <w:rPr>
        <w:rFonts w:ascii="Calibri" w:hAnsi="Calibri" w:cs="Open Sans"/>
        <w:color w:val="5C5C5C" w:themeColor="text1" w:themeTint="BF"/>
      </w:rPr>
      <w:t>/</w:t>
    </w:r>
    <w:r>
      <w:rPr>
        <w:rFonts w:ascii="Calibri" w:hAnsi="Calibri" w:cs="Open Sans"/>
        <w:color w:val="5C5C5C" w:themeColor="text1" w:themeTint="BF"/>
      </w:rPr>
      <w:t>2019</w:t>
    </w:r>
    <w:r w:rsidRPr="00132C9E">
      <w:rPr>
        <w:rFonts w:ascii="Calibri" w:hAnsi="Calibri"/>
        <w:color w:val="5C5C5C" w:themeColor="text1" w:themeTint="BF"/>
      </w:rPr>
      <w:ptab w:relativeTo="margin" w:alignment="right" w:leader="none"/>
    </w:r>
    <w:r w:rsidRPr="00132C9E">
      <w:rPr>
        <w:rFonts w:ascii="Calibri" w:hAnsi="Calibri" w:cs="Open Sans Semibold"/>
        <w:color w:val="112845" w:themeColor="text2" w:themeShade="BF"/>
      </w:rPr>
      <w:t>&lt;&lt;</w:t>
    </w:r>
    <w:r>
      <w:rPr>
        <w:rFonts w:ascii="Calibri" w:hAnsi="Calibri" w:cs="Open Sans Semibold"/>
        <w:color w:val="112845" w:themeColor="text2" w:themeShade="BF"/>
      </w:rPr>
      <w:t>FAQ</w:t>
    </w:r>
    <w:r w:rsidRPr="00132C9E">
      <w:rPr>
        <w:rFonts w:ascii="Calibri" w:hAnsi="Calibri" w:cs="Open Sans Semibold"/>
        <w:color w:val="112845" w:themeColor="text2" w:themeShade="BF"/>
      </w:rPr>
      <w:t>&gt;&gt;</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Federal Programs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6B5881">
      <w:rPr>
        <w:rFonts w:ascii="Calibri" w:hAnsi="Calibri" w:cs="Open Sans"/>
        <w:color w:val="5C5C5C" w:themeColor="text1" w:themeTint="BF"/>
      </w:rPr>
      <w:t xml:space="preserve">/ </w:t>
    </w:r>
    <w:r w:rsidR="006B5881"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8EA" w:rsidRDefault="002B28EA">
      <w:pPr>
        <w:spacing w:after="0" w:line="240" w:lineRule="auto"/>
      </w:pPr>
      <w:r>
        <w:separator/>
      </w:r>
    </w:p>
  </w:footnote>
  <w:footnote w:type="continuationSeparator" w:id="0">
    <w:p w:rsidR="002B28EA" w:rsidRDefault="002B2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BEB" w:rsidRDefault="00BF4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BEB" w:rsidRDefault="00BF4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37268"/>
    <w:multiLevelType w:val="hybridMultilevel"/>
    <w:tmpl w:val="9212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23F28"/>
    <w:multiLevelType w:val="hybridMultilevel"/>
    <w:tmpl w:val="4A6A1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D14770"/>
    <w:multiLevelType w:val="hybridMultilevel"/>
    <w:tmpl w:val="7870E8EA"/>
    <w:lvl w:ilvl="0" w:tplc="D75222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262391"/>
    <w:multiLevelType w:val="hybridMultilevel"/>
    <w:tmpl w:val="561A754E"/>
    <w:lvl w:ilvl="0" w:tplc="D75222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8"/>
  </w:num>
  <w:num w:numId="3">
    <w:abstractNumId w:val="28"/>
    <w:lvlOverride w:ilvl="0">
      <w:startOverride w:val="1"/>
    </w:lvlOverride>
  </w:num>
  <w:num w:numId="4">
    <w:abstractNumId w:val="32"/>
  </w:num>
  <w:num w:numId="5">
    <w:abstractNumId w:val="23"/>
  </w:num>
  <w:num w:numId="6">
    <w:abstractNumId w:val="27"/>
  </w:num>
  <w:num w:numId="7">
    <w:abstractNumId w:val="8"/>
  </w:num>
  <w:num w:numId="8">
    <w:abstractNumId w:val="18"/>
  </w:num>
  <w:num w:numId="9">
    <w:abstractNumId w:val="26"/>
  </w:num>
  <w:num w:numId="10">
    <w:abstractNumId w:val="25"/>
  </w:num>
  <w:num w:numId="11">
    <w:abstractNumId w:val="3"/>
  </w:num>
  <w:num w:numId="12">
    <w:abstractNumId w:val="22"/>
  </w:num>
  <w:num w:numId="13">
    <w:abstractNumId w:val="2"/>
  </w:num>
  <w:num w:numId="14">
    <w:abstractNumId w:val="31"/>
  </w:num>
  <w:num w:numId="15">
    <w:abstractNumId w:val="21"/>
  </w:num>
  <w:num w:numId="16">
    <w:abstractNumId w:val="15"/>
  </w:num>
  <w:num w:numId="17">
    <w:abstractNumId w:val="20"/>
  </w:num>
  <w:num w:numId="18">
    <w:abstractNumId w:val="5"/>
  </w:num>
  <w:num w:numId="19">
    <w:abstractNumId w:val="12"/>
  </w:num>
  <w:num w:numId="20">
    <w:abstractNumId w:val="17"/>
  </w:num>
  <w:num w:numId="21">
    <w:abstractNumId w:val="6"/>
  </w:num>
  <w:num w:numId="22">
    <w:abstractNumId w:val="30"/>
  </w:num>
  <w:num w:numId="23">
    <w:abstractNumId w:val="14"/>
  </w:num>
  <w:num w:numId="24">
    <w:abstractNumId w:val="34"/>
  </w:num>
  <w:num w:numId="25">
    <w:abstractNumId w:val="10"/>
  </w:num>
  <w:num w:numId="26">
    <w:abstractNumId w:val="24"/>
  </w:num>
  <w:num w:numId="27">
    <w:abstractNumId w:val="33"/>
  </w:num>
  <w:num w:numId="28">
    <w:abstractNumId w:val="13"/>
  </w:num>
  <w:num w:numId="29">
    <w:abstractNumId w:val="9"/>
  </w:num>
  <w:num w:numId="30">
    <w:abstractNumId w:val="35"/>
  </w:num>
  <w:num w:numId="31">
    <w:abstractNumId w:val="1"/>
  </w:num>
  <w:num w:numId="32">
    <w:abstractNumId w:val="29"/>
  </w:num>
  <w:num w:numId="33">
    <w:abstractNumId w:val="4"/>
  </w:num>
  <w:num w:numId="34">
    <w:abstractNumId w:val="16"/>
  </w:num>
  <w:num w:numId="35">
    <w:abstractNumId w:val="19"/>
  </w:num>
  <w:num w:numId="36">
    <w:abstractNumId w:val="11"/>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Q0tzQyMDIyMjczMDBX0lEKTi0uzszPAykwqgUAgvf0yywAAAA="/>
  </w:docVars>
  <w:rsids>
    <w:rsidRoot w:val="00347EBE"/>
    <w:rsid w:val="00007887"/>
    <w:rsid w:val="0001378B"/>
    <w:rsid w:val="000160F4"/>
    <w:rsid w:val="00032F5D"/>
    <w:rsid w:val="00033CD6"/>
    <w:rsid w:val="00062E3E"/>
    <w:rsid w:val="00083931"/>
    <w:rsid w:val="00096168"/>
    <w:rsid w:val="000A035E"/>
    <w:rsid w:val="000E51BA"/>
    <w:rsid w:val="0010006A"/>
    <w:rsid w:val="00103DBC"/>
    <w:rsid w:val="00112D4A"/>
    <w:rsid w:val="001168C0"/>
    <w:rsid w:val="00147974"/>
    <w:rsid w:val="00154031"/>
    <w:rsid w:val="00180F84"/>
    <w:rsid w:val="0018288A"/>
    <w:rsid w:val="00196761"/>
    <w:rsid w:val="00197896"/>
    <w:rsid w:val="001B5314"/>
    <w:rsid w:val="00245FA3"/>
    <w:rsid w:val="0025689F"/>
    <w:rsid w:val="0026476C"/>
    <w:rsid w:val="00281739"/>
    <w:rsid w:val="0029223D"/>
    <w:rsid w:val="002B28EA"/>
    <w:rsid w:val="002C4235"/>
    <w:rsid w:val="002D14F2"/>
    <w:rsid w:val="002F1BB5"/>
    <w:rsid w:val="003328C8"/>
    <w:rsid w:val="00347EBE"/>
    <w:rsid w:val="003A5AAF"/>
    <w:rsid w:val="003D0540"/>
    <w:rsid w:val="003D5F75"/>
    <w:rsid w:val="004667B3"/>
    <w:rsid w:val="00492A4E"/>
    <w:rsid w:val="004E05E7"/>
    <w:rsid w:val="005402B1"/>
    <w:rsid w:val="005538F4"/>
    <w:rsid w:val="005B1976"/>
    <w:rsid w:val="00615807"/>
    <w:rsid w:val="00631317"/>
    <w:rsid w:val="00646404"/>
    <w:rsid w:val="006B5881"/>
    <w:rsid w:val="00715120"/>
    <w:rsid w:val="007334DA"/>
    <w:rsid w:val="00791D1B"/>
    <w:rsid w:val="007E114F"/>
    <w:rsid w:val="00807835"/>
    <w:rsid w:val="00853C51"/>
    <w:rsid w:val="00872142"/>
    <w:rsid w:val="0089512B"/>
    <w:rsid w:val="008B16D9"/>
    <w:rsid w:val="008C6AA4"/>
    <w:rsid w:val="009057E8"/>
    <w:rsid w:val="009262F6"/>
    <w:rsid w:val="00940C28"/>
    <w:rsid w:val="00956C1B"/>
    <w:rsid w:val="00974AFF"/>
    <w:rsid w:val="00976BFB"/>
    <w:rsid w:val="00990C23"/>
    <w:rsid w:val="009B4882"/>
    <w:rsid w:val="00A01BFA"/>
    <w:rsid w:val="00AB724D"/>
    <w:rsid w:val="00AD1E5A"/>
    <w:rsid w:val="00AD4B8D"/>
    <w:rsid w:val="00AD7F3B"/>
    <w:rsid w:val="00AE0F6C"/>
    <w:rsid w:val="00B17D56"/>
    <w:rsid w:val="00B33BBD"/>
    <w:rsid w:val="00B5377E"/>
    <w:rsid w:val="00B565A2"/>
    <w:rsid w:val="00BB7C99"/>
    <w:rsid w:val="00BC3467"/>
    <w:rsid w:val="00BD1383"/>
    <w:rsid w:val="00BD6AF7"/>
    <w:rsid w:val="00BF4BEB"/>
    <w:rsid w:val="00BF6007"/>
    <w:rsid w:val="00C308A6"/>
    <w:rsid w:val="00C318EC"/>
    <w:rsid w:val="00C53AE9"/>
    <w:rsid w:val="00C55449"/>
    <w:rsid w:val="00C807B2"/>
    <w:rsid w:val="00C81D83"/>
    <w:rsid w:val="00C96EF5"/>
    <w:rsid w:val="00CA2966"/>
    <w:rsid w:val="00CA469D"/>
    <w:rsid w:val="00CB7368"/>
    <w:rsid w:val="00CC33FF"/>
    <w:rsid w:val="00CD072C"/>
    <w:rsid w:val="00CF3505"/>
    <w:rsid w:val="00D022E5"/>
    <w:rsid w:val="00D550CF"/>
    <w:rsid w:val="00D96187"/>
    <w:rsid w:val="00DE52FA"/>
    <w:rsid w:val="00DF27A6"/>
    <w:rsid w:val="00E80235"/>
    <w:rsid w:val="00EB2D92"/>
    <w:rsid w:val="00EC4660"/>
    <w:rsid w:val="00ED18BD"/>
    <w:rsid w:val="00ED76D3"/>
    <w:rsid w:val="00F144BF"/>
    <w:rsid w:val="00F174FF"/>
    <w:rsid w:val="00F3077F"/>
    <w:rsid w:val="00F548FB"/>
    <w:rsid w:val="00F559D9"/>
    <w:rsid w:val="00F775BF"/>
    <w:rsid w:val="00F814F1"/>
    <w:rsid w:val="00F85C40"/>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CBF5FE"/>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paragraph" w:customStyle="1" w:styleId="Default">
    <w:name w:val="Default"/>
    <w:rsid w:val="00147974"/>
    <w:pPr>
      <w:autoSpaceDE w:val="0"/>
      <w:autoSpaceDN w:val="0"/>
      <w:adjustRightInd w:val="0"/>
      <w:spacing w:after="0" w:line="240" w:lineRule="auto"/>
    </w:pPr>
    <w:rPr>
      <w:rFonts w:ascii="Arial" w:eastAsia="Calibri" w:hAnsi="Arial" w:cs="Arial"/>
      <w:color w:val="000000"/>
      <w:sz w:val="24"/>
      <w:szCs w:val="24"/>
      <w:lang w:eastAsia="en-US"/>
    </w:rPr>
  </w:style>
  <w:style w:type="character" w:styleId="FollowedHyperlink">
    <w:name w:val="FollowedHyperlink"/>
    <w:basedOn w:val="DefaultParagraphFont"/>
    <w:uiPriority w:val="99"/>
    <w:semiHidden/>
    <w:unhideWhenUsed/>
    <w:rsid w:val="00BD6AF7"/>
    <w:rPr>
      <w:color w:val="E36C09" w:themeColor="followedHyperlink"/>
      <w:u w:val="single"/>
    </w:rPr>
  </w:style>
  <w:style w:type="character" w:styleId="UnresolvedMention">
    <w:name w:val="Unresolved Mention"/>
    <w:basedOn w:val="DefaultParagraphFont"/>
    <w:uiPriority w:val="99"/>
    <w:semiHidden/>
    <w:unhideWhenUsed/>
    <w:rsid w:val="00F85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history.idaho.gov/idaho-records-center-retention-schedules" TargetMode="External"/><Relationship Id="rId4" Type="http://schemas.openxmlformats.org/officeDocument/2006/relationships/styles" Target="styles.xml"/><Relationship Id="rId9" Type="http://schemas.openxmlformats.org/officeDocument/2006/relationships/hyperlink" Target="https://www.sde.idaho.gov/federal-programs/funding/files/grant-guidance/LEA-Policies-and-procedures-template-updated-05-01-2021.docx"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15064D86-86DF-4171-9F4A-707DD41D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Lisa Pofelski Rosa</cp:lastModifiedBy>
  <cp:revision>3</cp:revision>
  <cp:lastPrinted>2021-10-06T20:01:00Z</cp:lastPrinted>
  <dcterms:created xsi:type="dcterms:W3CDTF">2021-10-06T21:21:00Z</dcterms:created>
  <dcterms:modified xsi:type="dcterms:W3CDTF">2021-10-07T22:59:00Z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