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D10" w:rsidRPr="00F42C12" w:rsidRDefault="00A20D10" w:rsidP="00935F50">
      <w:pPr>
        <w:pStyle w:val="Heading1"/>
        <w:jc w:val="center"/>
        <w:rPr>
          <w:sz w:val="24"/>
          <w:szCs w:val="24"/>
        </w:rPr>
      </w:pPr>
      <w:r w:rsidRPr="00F42C12">
        <w:rPr>
          <w:sz w:val="24"/>
          <w:szCs w:val="24"/>
        </w:rPr>
        <w:t>CARRYOVER</w:t>
      </w:r>
      <w:r w:rsidR="00935F50" w:rsidRPr="00F42C12">
        <w:rPr>
          <w:sz w:val="24"/>
          <w:szCs w:val="24"/>
        </w:rPr>
        <w:t xml:space="preserve"> and obligation </w:t>
      </w:r>
    </w:p>
    <w:p w:rsidR="00935F50" w:rsidRPr="00F42C12" w:rsidRDefault="00935F50" w:rsidP="00935F50">
      <w:pPr>
        <w:pStyle w:val="Heading2"/>
        <w:jc w:val="center"/>
        <w:rPr>
          <w:szCs w:val="24"/>
        </w:rPr>
      </w:pPr>
      <w:r w:rsidRPr="00F42C12">
        <w:rPr>
          <w:szCs w:val="24"/>
        </w:rPr>
        <w:t>Carryover</w:t>
      </w:r>
    </w:p>
    <w:p w:rsidR="00FE706C" w:rsidRPr="00F42C12" w:rsidRDefault="00FE706C" w:rsidP="00FE706C">
      <w:pPr>
        <w:rPr>
          <w:szCs w:val="24"/>
        </w:rPr>
      </w:pPr>
    </w:p>
    <w:p w:rsidR="004959A5" w:rsidRPr="00F42C12" w:rsidRDefault="00A20D10" w:rsidP="00F022CC">
      <w:pPr>
        <w:jc w:val="both"/>
        <w:rPr>
          <w:rFonts w:cs="Calibri"/>
          <w:szCs w:val="24"/>
        </w:rPr>
      </w:pPr>
      <w:r w:rsidRPr="00F42C12">
        <w:rPr>
          <w:rFonts w:cs="Calibri"/>
          <w:szCs w:val="24"/>
        </w:rPr>
        <w:t xml:space="preserve">Under section 421(b) of the General Education Provisions Act (GEPA), LEAs and SEAs must obligate funds during the 27 months extending from July 1 of the fiscal year for which the funds were appropriated through September 30 of the second succeeding fiscal year. This maximum period includes a 15-month period of initial availability plus a 12-month period for carryover. </w:t>
      </w:r>
    </w:p>
    <w:p w:rsidR="008E5326" w:rsidRPr="00F42C12" w:rsidRDefault="008E5326" w:rsidP="008E5326">
      <w:pPr>
        <w:pStyle w:val="Heading2"/>
        <w:jc w:val="center"/>
        <w:rPr>
          <w:szCs w:val="24"/>
        </w:rPr>
      </w:pPr>
      <w:r w:rsidRPr="00F42C12">
        <w:rPr>
          <w:szCs w:val="24"/>
        </w:rPr>
        <w:t>Overview of Performance Periods (as listed in the GRA)</w:t>
      </w:r>
    </w:p>
    <w:p w:rsidR="00FE706C" w:rsidRPr="00F42C12" w:rsidRDefault="00FE706C" w:rsidP="00FE706C">
      <w:pPr>
        <w:rPr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705"/>
        <w:gridCol w:w="2610"/>
        <w:gridCol w:w="2697"/>
        <w:gridCol w:w="2703"/>
      </w:tblGrid>
      <w:tr w:rsidR="00AA24BF" w:rsidRPr="00F42C12" w:rsidTr="0075284F">
        <w:tc>
          <w:tcPr>
            <w:tcW w:w="1705" w:type="dxa"/>
          </w:tcPr>
          <w:p w:rsidR="00AA24BF" w:rsidRPr="00F42C12" w:rsidRDefault="00AA24BF" w:rsidP="0075284F">
            <w:pPr>
              <w:rPr>
                <w:rFonts w:cs="Calibri"/>
                <w:b/>
                <w:szCs w:val="24"/>
              </w:rPr>
            </w:pPr>
            <w:r w:rsidRPr="00F42C12">
              <w:rPr>
                <w:rFonts w:cs="Calibri"/>
                <w:b/>
                <w:szCs w:val="24"/>
              </w:rPr>
              <w:t>Funding Year</w:t>
            </w:r>
          </w:p>
        </w:tc>
        <w:tc>
          <w:tcPr>
            <w:tcW w:w="2610" w:type="dxa"/>
          </w:tcPr>
          <w:p w:rsidR="00AA24BF" w:rsidRPr="00F42C12" w:rsidRDefault="00AA24BF" w:rsidP="0075284F">
            <w:pPr>
              <w:rPr>
                <w:rFonts w:cs="Calibri"/>
                <w:b/>
                <w:szCs w:val="24"/>
              </w:rPr>
            </w:pPr>
            <w:r w:rsidRPr="00F42C12">
              <w:rPr>
                <w:rFonts w:cs="Calibri"/>
                <w:b/>
                <w:szCs w:val="24"/>
              </w:rPr>
              <w:t>Initial Period</w:t>
            </w:r>
            <w:r w:rsidR="004A12C9">
              <w:rPr>
                <w:rFonts w:cs="Calibri"/>
                <w:b/>
                <w:szCs w:val="24"/>
              </w:rPr>
              <w:br/>
            </w:r>
            <w:r w:rsidRPr="00F42C12">
              <w:rPr>
                <w:rFonts w:cs="Calibri"/>
                <w:b/>
                <w:szCs w:val="24"/>
              </w:rPr>
              <w:t>Ending – 15 months</w:t>
            </w:r>
          </w:p>
        </w:tc>
        <w:tc>
          <w:tcPr>
            <w:tcW w:w="2697" w:type="dxa"/>
          </w:tcPr>
          <w:p w:rsidR="00AA24BF" w:rsidRPr="00F42C12" w:rsidRDefault="00AA24BF" w:rsidP="0075284F">
            <w:pPr>
              <w:rPr>
                <w:rFonts w:cs="Calibri"/>
                <w:b/>
                <w:szCs w:val="24"/>
              </w:rPr>
            </w:pPr>
            <w:r w:rsidRPr="00F42C12">
              <w:rPr>
                <w:rFonts w:cs="Calibri"/>
                <w:b/>
                <w:szCs w:val="24"/>
              </w:rPr>
              <w:t>Tydings Amendment Ending – 12 months</w:t>
            </w:r>
          </w:p>
        </w:tc>
        <w:tc>
          <w:tcPr>
            <w:tcW w:w="2703" w:type="dxa"/>
          </w:tcPr>
          <w:p w:rsidR="00AA24BF" w:rsidRPr="00F42C12" w:rsidRDefault="00AA24BF" w:rsidP="0075284F">
            <w:pPr>
              <w:rPr>
                <w:rFonts w:cs="Calibri"/>
                <w:b/>
                <w:szCs w:val="24"/>
              </w:rPr>
            </w:pPr>
            <w:r w:rsidRPr="00F42C12">
              <w:rPr>
                <w:rFonts w:cs="Calibri"/>
                <w:b/>
                <w:szCs w:val="24"/>
              </w:rPr>
              <w:t>Extension</w:t>
            </w:r>
            <w:r w:rsidR="004A12C9">
              <w:rPr>
                <w:rFonts w:cs="Calibri"/>
                <w:b/>
                <w:szCs w:val="24"/>
              </w:rPr>
              <w:br/>
            </w:r>
            <w:bookmarkStart w:id="0" w:name="_GoBack"/>
            <w:bookmarkEnd w:id="0"/>
            <w:r w:rsidRPr="00F42C12">
              <w:rPr>
                <w:rFonts w:cs="Calibri"/>
                <w:b/>
                <w:szCs w:val="24"/>
              </w:rPr>
              <w:t>Ending – 12 months</w:t>
            </w:r>
          </w:p>
        </w:tc>
      </w:tr>
      <w:tr w:rsidR="00AA24BF" w:rsidRPr="00F42C12" w:rsidTr="00FD08BB">
        <w:trPr>
          <w:trHeight w:val="360"/>
        </w:trPr>
        <w:tc>
          <w:tcPr>
            <w:tcW w:w="1705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 xml:space="preserve">2018-2019 </w:t>
            </w:r>
          </w:p>
        </w:tc>
        <w:tc>
          <w:tcPr>
            <w:tcW w:w="2610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7/1/-2018 - 9/30/2019</w:t>
            </w:r>
          </w:p>
        </w:tc>
        <w:tc>
          <w:tcPr>
            <w:tcW w:w="2697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10/1/2019 – 9/30/2020</w:t>
            </w:r>
          </w:p>
        </w:tc>
        <w:tc>
          <w:tcPr>
            <w:tcW w:w="2703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10/1/2020 – 12/15/2021</w:t>
            </w:r>
          </w:p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Extended by U.S. ED</w:t>
            </w:r>
          </w:p>
        </w:tc>
      </w:tr>
      <w:tr w:rsidR="00AA24BF" w:rsidRPr="00F42C12" w:rsidTr="0075284F">
        <w:tc>
          <w:tcPr>
            <w:tcW w:w="1705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 xml:space="preserve">2019-2020 </w:t>
            </w:r>
          </w:p>
        </w:tc>
        <w:tc>
          <w:tcPr>
            <w:tcW w:w="2610" w:type="dxa"/>
          </w:tcPr>
          <w:p w:rsidR="00AA24BF" w:rsidRPr="00F42C12" w:rsidRDefault="00AA24BF" w:rsidP="0075284F">
            <w:pPr>
              <w:rPr>
                <w:szCs w:val="24"/>
              </w:rPr>
            </w:pPr>
            <w:r w:rsidRPr="00F42C12">
              <w:rPr>
                <w:rFonts w:cs="Calibri"/>
                <w:szCs w:val="24"/>
              </w:rPr>
              <w:t>7/1/-2019 - 9/30/2020</w:t>
            </w:r>
          </w:p>
        </w:tc>
        <w:tc>
          <w:tcPr>
            <w:tcW w:w="2697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10/1/2020 – 12/30/2021</w:t>
            </w:r>
          </w:p>
        </w:tc>
        <w:tc>
          <w:tcPr>
            <w:tcW w:w="2703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Extension requested by SDE</w:t>
            </w:r>
          </w:p>
        </w:tc>
      </w:tr>
      <w:tr w:rsidR="00AA24BF" w:rsidRPr="00F42C12" w:rsidTr="0075284F">
        <w:tc>
          <w:tcPr>
            <w:tcW w:w="1705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 xml:space="preserve">2020-2021 </w:t>
            </w:r>
          </w:p>
        </w:tc>
        <w:tc>
          <w:tcPr>
            <w:tcW w:w="2610" w:type="dxa"/>
          </w:tcPr>
          <w:p w:rsidR="00AA24BF" w:rsidRPr="00F42C12" w:rsidRDefault="00AA24BF" w:rsidP="0075284F">
            <w:pPr>
              <w:rPr>
                <w:szCs w:val="24"/>
              </w:rPr>
            </w:pPr>
            <w:r w:rsidRPr="00F42C12">
              <w:rPr>
                <w:rFonts w:cs="Calibri"/>
                <w:szCs w:val="24"/>
              </w:rPr>
              <w:t>7/1/-2020 - 9/30/2021</w:t>
            </w:r>
          </w:p>
        </w:tc>
        <w:tc>
          <w:tcPr>
            <w:tcW w:w="2697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10/1/2021 – 12/30/2022</w:t>
            </w:r>
          </w:p>
        </w:tc>
        <w:tc>
          <w:tcPr>
            <w:tcW w:w="2703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</w:p>
        </w:tc>
      </w:tr>
      <w:tr w:rsidR="00AA24BF" w:rsidRPr="00F42C12" w:rsidTr="0075284F">
        <w:tc>
          <w:tcPr>
            <w:tcW w:w="1705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2021-2022</w:t>
            </w:r>
            <w:r w:rsidR="00ED2CB3" w:rsidRPr="00F42C12">
              <w:rPr>
                <w:rFonts w:cs="Calibri"/>
                <w:szCs w:val="24"/>
              </w:rPr>
              <w:t>*</w:t>
            </w:r>
            <w:r w:rsidRPr="00F42C12">
              <w:rPr>
                <w:rFonts w:cs="Calibri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AA24BF" w:rsidRPr="00F42C12" w:rsidRDefault="00AA24BF" w:rsidP="0075284F">
            <w:pPr>
              <w:rPr>
                <w:szCs w:val="24"/>
              </w:rPr>
            </w:pPr>
            <w:r w:rsidRPr="00F42C12">
              <w:rPr>
                <w:rFonts w:cs="Calibri"/>
                <w:szCs w:val="24"/>
              </w:rPr>
              <w:t>7/1/-2021 - 9/30/2022</w:t>
            </w:r>
          </w:p>
        </w:tc>
        <w:tc>
          <w:tcPr>
            <w:tcW w:w="2697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10/1/20</w:t>
            </w:r>
            <w:r w:rsidR="0008216A">
              <w:rPr>
                <w:rFonts w:cs="Calibri"/>
                <w:szCs w:val="24"/>
              </w:rPr>
              <w:t>22</w:t>
            </w:r>
            <w:r w:rsidRPr="00F42C12">
              <w:rPr>
                <w:rFonts w:cs="Calibri"/>
                <w:szCs w:val="24"/>
              </w:rPr>
              <w:t xml:space="preserve"> – 12/30/2023</w:t>
            </w:r>
          </w:p>
        </w:tc>
        <w:tc>
          <w:tcPr>
            <w:tcW w:w="2703" w:type="dxa"/>
          </w:tcPr>
          <w:p w:rsidR="00AA24BF" w:rsidRPr="00F42C12" w:rsidRDefault="00AA24BF" w:rsidP="0075284F">
            <w:pPr>
              <w:rPr>
                <w:rFonts w:cs="Calibri"/>
                <w:szCs w:val="24"/>
              </w:rPr>
            </w:pPr>
          </w:p>
        </w:tc>
      </w:tr>
    </w:tbl>
    <w:p w:rsidR="00AA24BF" w:rsidRPr="00F42C12" w:rsidRDefault="00ED2CB3" w:rsidP="00AA24BF">
      <w:pPr>
        <w:jc w:val="both"/>
        <w:rPr>
          <w:rFonts w:cs="Calibri"/>
          <w:szCs w:val="24"/>
        </w:rPr>
      </w:pPr>
      <w:r w:rsidRPr="00F42C12">
        <w:rPr>
          <w:rFonts w:cs="Calibri"/>
          <w:szCs w:val="24"/>
        </w:rPr>
        <w:t>*available July 1, 2021</w:t>
      </w:r>
    </w:p>
    <w:p w:rsidR="004959A5" w:rsidRPr="00F42C12" w:rsidRDefault="004959A5" w:rsidP="004959A5">
      <w:pPr>
        <w:jc w:val="both"/>
        <w:rPr>
          <w:rFonts w:cs="Calibri"/>
          <w:szCs w:val="24"/>
        </w:rPr>
      </w:pPr>
      <w:r w:rsidRPr="00F42C12">
        <w:rPr>
          <w:rFonts w:cs="Calibri"/>
          <w:szCs w:val="24"/>
        </w:rPr>
        <w:t>However, section 1127(a) of Title I of the ESEA limits the amount of Title I, Part A funds an LEA may carry over from one fiscal year’s allocation to not more than 15 percent of the total Title I, Part A funds allocated to the LEA for that fiscal year.</w:t>
      </w:r>
    </w:p>
    <w:p w:rsidR="00A20D10" w:rsidRPr="00F42C12" w:rsidRDefault="00A20D10" w:rsidP="00F022CC">
      <w:pPr>
        <w:jc w:val="both"/>
        <w:rPr>
          <w:rFonts w:cs="Calibri"/>
          <w:szCs w:val="24"/>
        </w:rPr>
      </w:pPr>
      <w:r w:rsidRPr="00F42C12">
        <w:rPr>
          <w:rFonts w:cs="Calibri"/>
          <w:szCs w:val="24"/>
        </w:rPr>
        <w:t xml:space="preserve">The following illustrates how the 27-month availability for Title I, Part A funds and the carryover limitation would operate for an LEA that receives an allocation under the FY </w:t>
      </w:r>
      <w:r w:rsidR="00CB3439" w:rsidRPr="00F42C12">
        <w:rPr>
          <w:rFonts w:cs="Calibri"/>
          <w:szCs w:val="24"/>
        </w:rPr>
        <w:t>2021</w:t>
      </w:r>
      <w:r w:rsidRPr="00F42C12">
        <w:rPr>
          <w:rFonts w:cs="Calibri"/>
          <w:szCs w:val="24"/>
        </w:rPr>
        <w:t xml:space="preserve"> </w:t>
      </w:r>
      <w:r w:rsidR="0061196C" w:rsidRPr="00F42C12">
        <w:rPr>
          <w:rFonts w:cs="Calibri"/>
          <w:szCs w:val="24"/>
        </w:rPr>
        <w:t>(</w:t>
      </w:r>
      <w:r w:rsidR="00CB3439" w:rsidRPr="00F42C12">
        <w:rPr>
          <w:rFonts w:cs="Calibri"/>
          <w:szCs w:val="24"/>
        </w:rPr>
        <w:t>2021-2022</w:t>
      </w:r>
      <w:r w:rsidR="0061196C" w:rsidRPr="00F42C12">
        <w:rPr>
          <w:rFonts w:cs="Calibri"/>
          <w:szCs w:val="24"/>
        </w:rPr>
        <w:t xml:space="preserve"> school year) </w:t>
      </w:r>
      <w:r w:rsidRPr="00F42C12">
        <w:rPr>
          <w:rFonts w:cs="Calibri"/>
          <w:szCs w:val="24"/>
        </w:rPr>
        <w:t>appropriation.</w:t>
      </w:r>
    </w:p>
    <w:p w:rsidR="0061196C" w:rsidRDefault="0061196C" w:rsidP="00F022CC">
      <w:pPr>
        <w:jc w:val="both"/>
        <w:rPr>
          <w:rFonts w:cs="Calibri"/>
          <w:szCs w:val="24"/>
        </w:rPr>
      </w:pPr>
      <w:r w:rsidRPr="00F42C12">
        <w:rPr>
          <w:rFonts w:cs="Calibri"/>
          <w:b/>
          <w:szCs w:val="24"/>
        </w:rPr>
        <w:t>Example:</w:t>
      </w:r>
      <w:r w:rsidRPr="00F42C12">
        <w:rPr>
          <w:rFonts w:cs="Calibri"/>
          <w:szCs w:val="24"/>
        </w:rPr>
        <w:t xml:space="preserve"> Title I, Part A Funds </w:t>
      </w:r>
      <w:r w:rsidR="008E5326" w:rsidRPr="00F42C12">
        <w:rPr>
          <w:rFonts w:cs="Calibri"/>
          <w:szCs w:val="24"/>
        </w:rPr>
        <w:t>a</w:t>
      </w:r>
      <w:r w:rsidRPr="00F42C12">
        <w:rPr>
          <w:rFonts w:cs="Calibri"/>
          <w:szCs w:val="24"/>
        </w:rPr>
        <w:t xml:space="preserve">llocated to the LEA from </w:t>
      </w:r>
      <w:r w:rsidR="008E5326" w:rsidRPr="00F42C12">
        <w:rPr>
          <w:rFonts w:cs="Calibri"/>
          <w:szCs w:val="24"/>
        </w:rPr>
        <w:t>f</w:t>
      </w:r>
      <w:r w:rsidRPr="00F42C12">
        <w:rPr>
          <w:rFonts w:cs="Calibri"/>
          <w:szCs w:val="24"/>
        </w:rPr>
        <w:t xml:space="preserve">unds </w:t>
      </w:r>
      <w:r w:rsidR="008E5326" w:rsidRPr="00F42C12">
        <w:rPr>
          <w:rFonts w:cs="Calibri"/>
          <w:szCs w:val="24"/>
        </w:rPr>
        <w:t>m</w:t>
      </w:r>
      <w:r w:rsidRPr="00F42C12">
        <w:rPr>
          <w:rFonts w:cs="Calibri"/>
          <w:szCs w:val="24"/>
        </w:rPr>
        <w:t xml:space="preserve">ade </w:t>
      </w:r>
      <w:r w:rsidR="008E5326" w:rsidRPr="00F42C12">
        <w:rPr>
          <w:rFonts w:cs="Calibri"/>
          <w:szCs w:val="24"/>
        </w:rPr>
        <w:t>a</w:t>
      </w:r>
      <w:r w:rsidRPr="00F42C12">
        <w:rPr>
          <w:rFonts w:cs="Calibri"/>
          <w:szCs w:val="24"/>
        </w:rPr>
        <w:t>vailable on July 1, 20</w:t>
      </w:r>
      <w:r w:rsidR="00CB3439" w:rsidRPr="00F42C12">
        <w:rPr>
          <w:rFonts w:cs="Calibri"/>
          <w:szCs w:val="24"/>
        </w:rPr>
        <w:t>21</w:t>
      </w:r>
      <w:r w:rsidRPr="00F42C12">
        <w:rPr>
          <w:rFonts w:cs="Calibri"/>
          <w:szCs w:val="24"/>
        </w:rPr>
        <w:t>. Total $1,500,000</w:t>
      </w:r>
      <w:r w:rsidR="004254EE" w:rsidRPr="00F42C12">
        <w:rPr>
          <w:rFonts w:cs="Calibri"/>
          <w:szCs w:val="24"/>
        </w:rPr>
        <w:t>.</w:t>
      </w:r>
    </w:p>
    <w:p w:rsidR="007223E7" w:rsidRDefault="007223E7" w:rsidP="00F022CC">
      <w:pPr>
        <w:jc w:val="both"/>
        <w:rPr>
          <w:rFonts w:cs="Calibri"/>
          <w:szCs w:val="24"/>
        </w:rPr>
      </w:pPr>
    </w:p>
    <w:p w:rsidR="007223E7" w:rsidRPr="00F42C12" w:rsidRDefault="007223E7" w:rsidP="00F022CC">
      <w:pPr>
        <w:jc w:val="both"/>
        <w:rPr>
          <w:rFonts w:cs="Calibri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  <w:tblCaption w:val="example of obligation"/>
        <w:tblDescription w:val="example of obligation"/>
      </w:tblPr>
      <w:tblGrid>
        <w:gridCol w:w="8005"/>
        <w:gridCol w:w="1710"/>
      </w:tblGrid>
      <w:tr w:rsidR="0061196C" w:rsidRPr="00F42C12" w:rsidTr="004254EE">
        <w:trPr>
          <w:tblHeader/>
        </w:trPr>
        <w:tc>
          <w:tcPr>
            <w:tcW w:w="8005" w:type="dxa"/>
          </w:tcPr>
          <w:p w:rsidR="0061196C" w:rsidRPr="00F42C12" w:rsidRDefault="0061196C" w:rsidP="0061196C">
            <w:pPr>
              <w:rPr>
                <w:rFonts w:cs="Calibri"/>
                <w:b/>
                <w:szCs w:val="24"/>
              </w:rPr>
            </w:pPr>
            <w:r w:rsidRPr="00F42C12">
              <w:rPr>
                <w:rFonts w:cs="Calibri"/>
                <w:b/>
                <w:szCs w:val="24"/>
              </w:rPr>
              <w:t>Total allocation</w:t>
            </w:r>
          </w:p>
        </w:tc>
        <w:tc>
          <w:tcPr>
            <w:tcW w:w="1710" w:type="dxa"/>
          </w:tcPr>
          <w:p w:rsidR="0061196C" w:rsidRPr="00F42C12" w:rsidRDefault="0061196C" w:rsidP="0061196C">
            <w:pPr>
              <w:rPr>
                <w:rFonts w:cs="Calibri"/>
                <w:b/>
                <w:szCs w:val="24"/>
              </w:rPr>
            </w:pPr>
            <w:r w:rsidRPr="00F42C12">
              <w:rPr>
                <w:rFonts w:cs="Calibri"/>
                <w:b/>
                <w:szCs w:val="24"/>
              </w:rPr>
              <w:t>$1,500,000</w:t>
            </w:r>
          </w:p>
        </w:tc>
      </w:tr>
      <w:tr w:rsidR="0061196C" w:rsidRPr="00F42C12" w:rsidTr="0061196C">
        <w:tc>
          <w:tcPr>
            <w:tcW w:w="8005" w:type="dxa"/>
          </w:tcPr>
          <w:p w:rsidR="0061196C" w:rsidRPr="00F42C12" w:rsidRDefault="0061196C" w:rsidP="0061196C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Minimum amount LEA must obligate between July 1, 20</w:t>
            </w:r>
            <w:r w:rsidR="00CB3439" w:rsidRPr="00F42C12">
              <w:rPr>
                <w:rFonts w:cs="Calibri"/>
                <w:szCs w:val="24"/>
              </w:rPr>
              <w:t>21</w:t>
            </w:r>
            <w:r w:rsidRPr="00F42C12">
              <w:rPr>
                <w:rFonts w:cs="Calibri"/>
                <w:szCs w:val="24"/>
              </w:rPr>
              <w:t xml:space="preserve"> – September 30, </w:t>
            </w:r>
            <w:r w:rsidRPr="00F42C12">
              <w:rPr>
                <w:rFonts w:cs="Calibri"/>
                <w:noProof/>
                <w:szCs w:val="24"/>
              </w:rPr>
              <w:t>20</w:t>
            </w:r>
            <w:r w:rsidR="00CB3439" w:rsidRPr="00F42C12">
              <w:rPr>
                <w:rFonts w:cs="Calibri"/>
                <w:noProof/>
                <w:szCs w:val="24"/>
              </w:rPr>
              <w:t>22</w:t>
            </w:r>
            <w:r w:rsidR="004254EE" w:rsidRPr="00F42C12">
              <w:rPr>
                <w:rFonts w:cs="Calibri"/>
                <w:noProof/>
                <w:szCs w:val="24"/>
              </w:rPr>
              <w:t>,</w:t>
            </w:r>
            <w:r w:rsidRPr="00F42C12">
              <w:rPr>
                <w:rFonts w:cs="Calibri"/>
                <w:szCs w:val="24"/>
              </w:rPr>
              <w:t xml:space="preserve"> to avoid excess carryover (85 percent of total appropriation)</w:t>
            </w:r>
          </w:p>
        </w:tc>
        <w:tc>
          <w:tcPr>
            <w:tcW w:w="1710" w:type="dxa"/>
          </w:tcPr>
          <w:p w:rsidR="0061196C" w:rsidRPr="00F42C12" w:rsidRDefault="0061196C" w:rsidP="0061196C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$1,275,000</w:t>
            </w:r>
          </w:p>
        </w:tc>
      </w:tr>
      <w:tr w:rsidR="0061196C" w:rsidRPr="00F42C12" w:rsidTr="0061196C">
        <w:tc>
          <w:tcPr>
            <w:tcW w:w="8005" w:type="dxa"/>
          </w:tcPr>
          <w:p w:rsidR="0061196C" w:rsidRPr="00F42C12" w:rsidRDefault="0061196C" w:rsidP="0061196C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 xml:space="preserve">Amount LEA may </w:t>
            </w:r>
            <w:r w:rsidRPr="00F42C12">
              <w:rPr>
                <w:rFonts w:cs="Calibri"/>
                <w:noProof/>
                <w:szCs w:val="24"/>
              </w:rPr>
              <w:t>carryover</w:t>
            </w:r>
            <w:r w:rsidRPr="00F42C12">
              <w:rPr>
                <w:rFonts w:cs="Calibri"/>
                <w:szCs w:val="24"/>
              </w:rPr>
              <w:t xml:space="preserve"> and obligate during October 1, 20</w:t>
            </w:r>
            <w:r w:rsidR="00CB3439" w:rsidRPr="00F42C12">
              <w:rPr>
                <w:rFonts w:cs="Calibri"/>
                <w:szCs w:val="24"/>
              </w:rPr>
              <w:t>22</w:t>
            </w:r>
            <w:r w:rsidRPr="00F42C12">
              <w:rPr>
                <w:rFonts w:cs="Calibri"/>
                <w:szCs w:val="24"/>
              </w:rPr>
              <w:t>– September 30, 20</w:t>
            </w:r>
            <w:r w:rsidR="00CB3439" w:rsidRPr="00F42C12">
              <w:rPr>
                <w:rFonts w:cs="Calibri"/>
                <w:szCs w:val="24"/>
              </w:rPr>
              <w:t>23</w:t>
            </w:r>
            <w:r w:rsidRPr="00F42C12">
              <w:rPr>
                <w:rFonts w:cs="Calibri"/>
                <w:szCs w:val="24"/>
              </w:rPr>
              <w:t xml:space="preserve"> (carryover period provided under section 421(b) of GEPA)</w:t>
            </w:r>
          </w:p>
        </w:tc>
        <w:tc>
          <w:tcPr>
            <w:tcW w:w="1710" w:type="dxa"/>
          </w:tcPr>
          <w:p w:rsidR="0061196C" w:rsidRPr="00F42C12" w:rsidRDefault="0061196C" w:rsidP="00A20D10">
            <w:pPr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$225,000</w:t>
            </w:r>
          </w:p>
        </w:tc>
      </w:tr>
    </w:tbl>
    <w:p w:rsidR="00FE706C" w:rsidRPr="00F42C12" w:rsidRDefault="00FE706C" w:rsidP="00F022CC">
      <w:pPr>
        <w:jc w:val="both"/>
        <w:rPr>
          <w:rFonts w:cs="Calibri"/>
          <w:szCs w:val="24"/>
        </w:rPr>
      </w:pPr>
    </w:p>
    <w:p w:rsidR="00A20D10" w:rsidRPr="00F42C12" w:rsidRDefault="00A20D10" w:rsidP="00F022CC">
      <w:pPr>
        <w:jc w:val="both"/>
        <w:rPr>
          <w:rFonts w:cs="Calibri"/>
          <w:szCs w:val="24"/>
        </w:rPr>
      </w:pPr>
      <w:r w:rsidRPr="00F42C12">
        <w:rPr>
          <w:rFonts w:cs="Calibri"/>
          <w:szCs w:val="24"/>
        </w:rPr>
        <w:t>During the first 15 months that an LEA’s Title I, Part A funds are available, the LEA must, by September 30, 20</w:t>
      </w:r>
      <w:r w:rsidR="00F022CC" w:rsidRPr="00F42C12">
        <w:rPr>
          <w:rFonts w:cs="Calibri"/>
          <w:szCs w:val="24"/>
        </w:rPr>
        <w:t>22</w:t>
      </w:r>
      <w:r w:rsidRPr="00F42C12">
        <w:rPr>
          <w:rFonts w:cs="Calibri"/>
          <w:szCs w:val="24"/>
        </w:rPr>
        <w:t>, obligate at least $1,275,000 (85 percent) of the total allocated to it. The LEA may carry over a maximum of $225,000 (15 percent) into the next fiscal year and must obligate those funds by September 30, 20</w:t>
      </w:r>
      <w:r w:rsidR="00F022CC" w:rsidRPr="00F42C12">
        <w:rPr>
          <w:rFonts w:cs="Calibri"/>
          <w:szCs w:val="24"/>
        </w:rPr>
        <w:t>23</w:t>
      </w:r>
      <w:r w:rsidRPr="00F42C12">
        <w:rPr>
          <w:rFonts w:cs="Calibri"/>
          <w:szCs w:val="24"/>
        </w:rPr>
        <w:t>. Any funds that remain unobligated after that date revert to the U.S. Treasury.</w:t>
      </w:r>
    </w:p>
    <w:p w:rsidR="00935F50" w:rsidRPr="00F42C12" w:rsidRDefault="00935F50" w:rsidP="00EC7B99">
      <w:pPr>
        <w:spacing w:after="0" w:line="240" w:lineRule="auto"/>
        <w:rPr>
          <w:rFonts w:cs="Calibri"/>
          <w:b/>
          <w:szCs w:val="24"/>
        </w:rPr>
      </w:pPr>
      <w:r w:rsidRPr="00F42C12">
        <w:rPr>
          <w:rFonts w:cs="Calibri"/>
          <w:b/>
          <w:szCs w:val="24"/>
        </w:rPr>
        <w:t xml:space="preserve">Carryover </w:t>
      </w:r>
      <w:r w:rsidR="00EC7B99" w:rsidRPr="00F42C12">
        <w:rPr>
          <w:rFonts w:cs="Calibri"/>
          <w:b/>
          <w:szCs w:val="24"/>
        </w:rPr>
        <w:t>L</w:t>
      </w:r>
      <w:r w:rsidRPr="00F42C12">
        <w:rPr>
          <w:rFonts w:cs="Calibri"/>
          <w:b/>
          <w:szCs w:val="24"/>
        </w:rPr>
        <w:t xml:space="preserve">imitation </w:t>
      </w:r>
      <w:r w:rsidR="00EC7B99" w:rsidRPr="00F42C12">
        <w:rPr>
          <w:rFonts w:cs="Calibri"/>
          <w:b/>
          <w:szCs w:val="24"/>
        </w:rPr>
        <w:t>Per Program</w:t>
      </w:r>
    </w:p>
    <w:p w:rsidR="00EC7B99" w:rsidRPr="00F42C12" w:rsidRDefault="00EC7B99" w:rsidP="00EC7B99">
      <w:pPr>
        <w:spacing w:after="0" w:line="240" w:lineRule="auto"/>
        <w:rPr>
          <w:rFonts w:cs="Calibri"/>
          <w:b/>
          <w:szCs w:val="24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Carryover Limitations"/>
        <w:tblDescription w:val="Carryover Limitations"/>
      </w:tblPr>
      <w:tblGrid>
        <w:gridCol w:w="5670"/>
        <w:gridCol w:w="3870"/>
      </w:tblGrid>
      <w:tr w:rsidR="00935F50" w:rsidRPr="00F42C12" w:rsidTr="00C054F1">
        <w:trPr>
          <w:trHeight w:val="413"/>
          <w:tblHeader/>
        </w:trPr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 xml:space="preserve">Program </w:t>
            </w:r>
          </w:p>
        </w:tc>
        <w:tc>
          <w:tcPr>
            <w:tcW w:w="3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 xml:space="preserve">Maximum </w:t>
            </w:r>
            <w:r w:rsidR="00EC7B99" w:rsidRPr="00F42C12">
              <w:rPr>
                <w:b/>
                <w:szCs w:val="24"/>
              </w:rPr>
              <w:t>p</w:t>
            </w:r>
            <w:r w:rsidRPr="00F42C12">
              <w:rPr>
                <w:b/>
                <w:szCs w:val="24"/>
              </w:rPr>
              <w:t xml:space="preserve">ercent of </w:t>
            </w:r>
            <w:r w:rsidR="00EC7B99" w:rsidRPr="00F42C12">
              <w:rPr>
                <w:b/>
                <w:szCs w:val="24"/>
              </w:rPr>
              <w:t xml:space="preserve">the </w:t>
            </w:r>
            <w:r w:rsidR="00EC7B99" w:rsidRPr="00F42C12">
              <w:rPr>
                <w:b/>
                <w:noProof/>
                <w:szCs w:val="24"/>
              </w:rPr>
              <w:t>t</w:t>
            </w:r>
            <w:r w:rsidRPr="00F42C12">
              <w:rPr>
                <w:b/>
                <w:noProof/>
                <w:szCs w:val="24"/>
              </w:rPr>
              <w:t>otal</w:t>
            </w:r>
            <w:r w:rsidRPr="00F42C12">
              <w:rPr>
                <w:b/>
                <w:szCs w:val="24"/>
              </w:rPr>
              <w:t xml:space="preserve"> </w:t>
            </w:r>
            <w:r w:rsidR="00EC7B99" w:rsidRPr="00F42C12">
              <w:rPr>
                <w:b/>
                <w:szCs w:val="24"/>
              </w:rPr>
              <w:t>a</w:t>
            </w:r>
            <w:r w:rsidRPr="00F42C12">
              <w:rPr>
                <w:b/>
                <w:szCs w:val="24"/>
              </w:rPr>
              <w:t xml:space="preserve">llocation </w:t>
            </w:r>
          </w:p>
        </w:tc>
      </w:tr>
      <w:tr w:rsidR="00935F50" w:rsidRPr="00F42C12" w:rsidTr="00C054F1">
        <w:trPr>
          <w:trHeight w:val="296"/>
        </w:trPr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</w:t>
            </w:r>
            <w:r w:rsidR="00C054F1" w:rsidRPr="00F42C12">
              <w:rPr>
                <w:szCs w:val="24"/>
              </w:rPr>
              <w:t>-</w:t>
            </w:r>
            <w:r w:rsidRPr="00F42C12">
              <w:rPr>
                <w:szCs w:val="24"/>
              </w:rPr>
              <w:t>A Basic Program</w:t>
            </w:r>
          </w:p>
        </w:tc>
        <w:tc>
          <w:tcPr>
            <w:tcW w:w="3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15%</w:t>
            </w:r>
            <w:r w:rsidR="008A0C9B" w:rsidRPr="00F42C12">
              <w:rPr>
                <w:szCs w:val="24"/>
              </w:rPr>
              <w:t xml:space="preserve"> *</w:t>
            </w:r>
          </w:p>
        </w:tc>
      </w:tr>
      <w:tr w:rsidR="00935F50" w:rsidRPr="00F42C12" w:rsidTr="00C054F1">
        <w:trPr>
          <w:trHeight w:val="386"/>
        </w:trPr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</w:t>
            </w:r>
            <w:r w:rsidR="00C054F1" w:rsidRPr="00F42C12">
              <w:rPr>
                <w:szCs w:val="24"/>
              </w:rPr>
              <w:t>-</w:t>
            </w:r>
            <w:r w:rsidRPr="00F42C12">
              <w:rPr>
                <w:szCs w:val="24"/>
              </w:rPr>
              <w:t xml:space="preserve">C Migrant Program </w:t>
            </w:r>
          </w:p>
        </w:tc>
        <w:tc>
          <w:tcPr>
            <w:tcW w:w="3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15%</w:t>
            </w:r>
            <w:r w:rsidR="00510B24" w:rsidRPr="00F42C12">
              <w:rPr>
                <w:szCs w:val="24"/>
              </w:rPr>
              <w:t>, reasonable and necessary</w:t>
            </w:r>
          </w:p>
        </w:tc>
      </w:tr>
      <w:tr w:rsidR="00935F50" w:rsidRPr="00F42C12" w:rsidTr="00C054F1">
        <w:trPr>
          <w:trHeight w:val="206"/>
        </w:trPr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II</w:t>
            </w:r>
            <w:r w:rsidR="00C054F1" w:rsidRPr="00F42C12">
              <w:rPr>
                <w:szCs w:val="24"/>
              </w:rPr>
              <w:t>-</w:t>
            </w:r>
            <w:r w:rsidRPr="00F42C12">
              <w:rPr>
                <w:szCs w:val="24"/>
              </w:rPr>
              <w:t>A Improving Teacher Quality</w:t>
            </w:r>
          </w:p>
        </w:tc>
        <w:tc>
          <w:tcPr>
            <w:tcW w:w="3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25%, reasonable and necessary</w:t>
            </w:r>
          </w:p>
        </w:tc>
      </w:tr>
      <w:tr w:rsidR="00935F50" w:rsidRPr="00F42C12" w:rsidTr="00C054F1">
        <w:trPr>
          <w:trHeight w:val="296"/>
        </w:trPr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III</w:t>
            </w:r>
            <w:r w:rsidR="00C054F1" w:rsidRPr="00F42C12">
              <w:rPr>
                <w:szCs w:val="24"/>
              </w:rPr>
              <w:t>-A</w:t>
            </w:r>
            <w:r w:rsidRPr="00F42C12">
              <w:rPr>
                <w:szCs w:val="24"/>
              </w:rPr>
              <w:t xml:space="preserve"> English Language Acquisition</w:t>
            </w:r>
          </w:p>
        </w:tc>
        <w:tc>
          <w:tcPr>
            <w:tcW w:w="3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C054F1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25%, reasonable and necessary</w:t>
            </w:r>
          </w:p>
        </w:tc>
      </w:tr>
      <w:tr w:rsidR="00C054F1" w:rsidRPr="00F42C12" w:rsidTr="00C054F1">
        <w:trPr>
          <w:trHeight w:val="386"/>
        </w:trPr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4F1" w:rsidRPr="00F42C12" w:rsidRDefault="00C054F1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IV-A Student Support and Academic Enrichment</w:t>
            </w:r>
          </w:p>
        </w:tc>
        <w:tc>
          <w:tcPr>
            <w:tcW w:w="3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4F1" w:rsidRPr="00F42C12" w:rsidRDefault="00C054F1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25%, reasonable and necessary</w:t>
            </w:r>
          </w:p>
        </w:tc>
      </w:tr>
      <w:tr w:rsidR="00935F50" w:rsidRPr="00F42C12" w:rsidTr="00C054F1">
        <w:trPr>
          <w:trHeight w:val="359"/>
        </w:trPr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 xml:space="preserve">Title </w:t>
            </w:r>
            <w:r w:rsidR="00C054F1" w:rsidRPr="00F42C12">
              <w:rPr>
                <w:szCs w:val="24"/>
              </w:rPr>
              <w:t>V</w:t>
            </w:r>
            <w:r w:rsidRPr="00F42C12">
              <w:rPr>
                <w:szCs w:val="24"/>
              </w:rPr>
              <w:t>-B Rural and Low Income</w:t>
            </w:r>
          </w:p>
        </w:tc>
        <w:tc>
          <w:tcPr>
            <w:tcW w:w="3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25%, reasonable and necessary</w:t>
            </w:r>
          </w:p>
        </w:tc>
      </w:tr>
      <w:tr w:rsidR="00935F50" w:rsidRPr="00F42C12" w:rsidTr="00C054F1">
        <w:trPr>
          <w:trHeight w:val="296"/>
        </w:trPr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5F50" w:rsidRPr="00F42C12" w:rsidRDefault="00547544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 School Improvement (Section 1003)</w:t>
            </w:r>
          </w:p>
        </w:tc>
        <w:tc>
          <w:tcPr>
            <w:tcW w:w="3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5F50" w:rsidRPr="00F42C12" w:rsidRDefault="00BF3208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15%</w:t>
            </w:r>
            <w:r w:rsidR="00547544" w:rsidRPr="00F42C12">
              <w:rPr>
                <w:szCs w:val="24"/>
              </w:rPr>
              <w:t xml:space="preserve"> </w:t>
            </w:r>
          </w:p>
        </w:tc>
      </w:tr>
    </w:tbl>
    <w:p w:rsidR="00935F50" w:rsidRPr="00F42C12" w:rsidRDefault="00935F50" w:rsidP="00B703E5">
      <w:pPr>
        <w:pStyle w:val="NoSpacing"/>
        <w:jc w:val="both"/>
        <w:rPr>
          <w:szCs w:val="24"/>
        </w:rPr>
      </w:pPr>
    </w:p>
    <w:p w:rsidR="004A12C9" w:rsidRDefault="009E1EEA" w:rsidP="00DA3342">
      <w:p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F42C12">
        <w:rPr>
          <w:rFonts w:cs="Calibri"/>
          <w:szCs w:val="24"/>
        </w:rPr>
        <w:t>*</w:t>
      </w:r>
      <w:r w:rsidR="00DA3342" w:rsidRPr="00F42C12">
        <w:rPr>
          <w:rFonts w:cs="Calibri"/>
          <w:szCs w:val="24"/>
        </w:rPr>
        <w:t xml:space="preserve">ESSA Sec. 1127 (c) </w:t>
      </w:r>
      <w:proofErr w:type="gramStart"/>
      <w:r w:rsidR="00DA3342" w:rsidRPr="00F42C12">
        <w:rPr>
          <w:rFonts w:cs="Calibri"/>
          <w:szCs w:val="24"/>
        </w:rPr>
        <w:t>EXCLUSION.—</w:t>
      </w:r>
      <w:proofErr w:type="gramEnd"/>
      <w:r w:rsidR="00DA3342" w:rsidRPr="00F42C12">
        <w:rPr>
          <w:rFonts w:cs="Calibri"/>
          <w:szCs w:val="24"/>
        </w:rPr>
        <w:t>The percentage limitation under subsection (a) shall not apply to any local educational agency that receives less than $50,000 under this subpart for any fiscal year.</w:t>
      </w:r>
    </w:p>
    <w:p w:rsidR="004A12C9" w:rsidRDefault="004A12C9" w:rsidP="004A12C9">
      <w:r>
        <w:br w:type="page"/>
      </w:r>
    </w:p>
    <w:p w:rsidR="00695F7C" w:rsidRPr="00F42C12" w:rsidRDefault="004A12C9" w:rsidP="00DA3342">
      <w:p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F42C12">
        <w:rPr>
          <w:rFonts w:cs="Calibri"/>
          <w:szCs w:val="24"/>
        </w:rPr>
        <w:lastRenderedPageBreak/>
        <w:t xml:space="preserve"> </w:t>
      </w:r>
    </w:p>
    <w:p w:rsidR="00EC7B99" w:rsidRPr="00F42C12" w:rsidRDefault="00935F50" w:rsidP="00935F50">
      <w:pPr>
        <w:autoSpaceDE w:val="0"/>
        <w:autoSpaceDN w:val="0"/>
        <w:adjustRightInd w:val="0"/>
        <w:jc w:val="both"/>
        <w:rPr>
          <w:rFonts w:cs="Calibri"/>
          <w:b/>
          <w:szCs w:val="24"/>
        </w:rPr>
      </w:pPr>
      <w:r w:rsidRPr="00F42C12">
        <w:rPr>
          <w:rFonts w:cs="Calibri"/>
          <w:b/>
          <w:szCs w:val="24"/>
        </w:rPr>
        <w:t xml:space="preserve">Excess Carryover for ESSA </w:t>
      </w:r>
      <w:r w:rsidR="00EC7B99" w:rsidRPr="00F42C12">
        <w:rPr>
          <w:rFonts w:cs="Calibri"/>
          <w:b/>
          <w:szCs w:val="24"/>
        </w:rPr>
        <w:t>G</w:t>
      </w:r>
      <w:r w:rsidRPr="00F42C12">
        <w:rPr>
          <w:rFonts w:cs="Calibri"/>
          <w:b/>
          <w:szCs w:val="24"/>
        </w:rPr>
        <w:t xml:space="preserve">rants </w:t>
      </w:r>
    </w:p>
    <w:p w:rsidR="00935F50" w:rsidRPr="00F42C12" w:rsidRDefault="00935F50" w:rsidP="00935F50">
      <w:pPr>
        <w:autoSpaceDE w:val="0"/>
        <w:autoSpaceDN w:val="0"/>
        <w:adjustRightInd w:val="0"/>
        <w:jc w:val="both"/>
        <w:rPr>
          <w:rFonts w:cs="Calibri"/>
          <w:szCs w:val="24"/>
        </w:rPr>
      </w:pPr>
      <w:r w:rsidRPr="00F42C12">
        <w:rPr>
          <w:rFonts w:cs="Calibri"/>
          <w:szCs w:val="24"/>
        </w:rPr>
        <w:t xml:space="preserve">Should an LEA exceed the carryover limitation and be ineligible for a waiver, the amount that has been exceeded reverts back to the State. </w:t>
      </w:r>
    </w:p>
    <w:p w:rsidR="00935F50" w:rsidRPr="00F42C12" w:rsidRDefault="00935F50" w:rsidP="00935F50">
      <w:pPr>
        <w:autoSpaceDE w:val="0"/>
        <w:autoSpaceDN w:val="0"/>
        <w:adjustRightInd w:val="0"/>
        <w:jc w:val="both"/>
        <w:rPr>
          <w:rFonts w:cs="Calibri"/>
          <w:b/>
          <w:szCs w:val="24"/>
        </w:rPr>
      </w:pPr>
      <w:r w:rsidRPr="00F42C12">
        <w:rPr>
          <w:rFonts w:cs="Calibri"/>
          <w:b/>
          <w:szCs w:val="24"/>
        </w:rPr>
        <w:t>Waiver</w:t>
      </w:r>
      <w:r w:rsidR="00893972" w:rsidRPr="00F42C12">
        <w:rPr>
          <w:rFonts w:cs="Calibri"/>
          <w:b/>
          <w:szCs w:val="24"/>
        </w:rPr>
        <w:t xml:space="preserve"> </w:t>
      </w:r>
    </w:p>
    <w:p w:rsidR="00935F50" w:rsidRPr="00F42C12" w:rsidRDefault="00935F50" w:rsidP="00935F50">
      <w:pPr>
        <w:autoSpaceDE w:val="0"/>
        <w:autoSpaceDN w:val="0"/>
        <w:adjustRightInd w:val="0"/>
        <w:jc w:val="both"/>
        <w:rPr>
          <w:rFonts w:cs="Calibri"/>
          <w:b/>
          <w:szCs w:val="24"/>
        </w:rPr>
      </w:pPr>
      <w:r w:rsidRPr="00F42C12">
        <w:rPr>
          <w:rFonts w:cs="Calibri"/>
          <w:szCs w:val="24"/>
        </w:rPr>
        <w:t xml:space="preserve">The LEA may waive the carryover limitation if the State Department of Education determines that the request of an LEA is reasonable and necessary. 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Waiver per program"/>
        <w:tblDescription w:val="Waiver per program"/>
      </w:tblPr>
      <w:tblGrid>
        <w:gridCol w:w="5400"/>
        <w:gridCol w:w="4140"/>
      </w:tblGrid>
      <w:tr w:rsidR="00935F50" w:rsidRPr="00F42C12" w:rsidTr="00586059">
        <w:trPr>
          <w:trHeight w:val="377"/>
          <w:tblHeader/>
        </w:trPr>
        <w:tc>
          <w:tcPr>
            <w:tcW w:w="5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 xml:space="preserve">Program </w:t>
            </w:r>
          </w:p>
        </w:tc>
        <w:tc>
          <w:tcPr>
            <w:tcW w:w="4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 xml:space="preserve">How often can </w:t>
            </w:r>
            <w:r w:rsidR="00EC7B99" w:rsidRPr="00F42C12">
              <w:rPr>
                <w:b/>
                <w:szCs w:val="24"/>
              </w:rPr>
              <w:t xml:space="preserve">a </w:t>
            </w:r>
            <w:r w:rsidRPr="00F42C12">
              <w:rPr>
                <w:b/>
                <w:noProof/>
                <w:szCs w:val="24"/>
              </w:rPr>
              <w:t>waiver</w:t>
            </w:r>
            <w:r w:rsidRPr="00F42C12">
              <w:rPr>
                <w:b/>
                <w:szCs w:val="24"/>
              </w:rPr>
              <w:t xml:space="preserve"> be requested? </w:t>
            </w:r>
          </w:p>
        </w:tc>
      </w:tr>
      <w:tr w:rsidR="00935F50" w:rsidRPr="00F42C12" w:rsidTr="00586059">
        <w:trPr>
          <w:trHeight w:val="305"/>
        </w:trPr>
        <w:tc>
          <w:tcPr>
            <w:tcW w:w="5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</w:t>
            </w:r>
            <w:r w:rsidR="00586059" w:rsidRPr="00F42C12">
              <w:rPr>
                <w:szCs w:val="24"/>
              </w:rPr>
              <w:t>-</w:t>
            </w:r>
            <w:r w:rsidRPr="00F42C12">
              <w:rPr>
                <w:szCs w:val="24"/>
              </w:rPr>
              <w:t>A Basic Program</w:t>
            </w:r>
          </w:p>
        </w:tc>
        <w:tc>
          <w:tcPr>
            <w:tcW w:w="4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Once every three years</w:t>
            </w:r>
          </w:p>
        </w:tc>
      </w:tr>
      <w:tr w:rsidR="00935F50" w:rsidRPr="00F42C12" w:rsidTr="00586059">
        <w:trPr>
          <w:trHeight w:val="296"/>
        </w:trPr>
        <w:tc>
          <w:tcPr>
            <w:tcW w:w="5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</w:t>
            </w:r>
            <w:r w:rsidR="00586059" w:rsidRPr="00F42C12">
              <w:rPr>
                <w:szCs w:val="24"/>
              </w:rPr>
              <w:t>-</w:t>
            </w:r>
            <w:r w:rsidRPr="00F42C12">
              <w:rPr>
                <w:szCs w:val="24"/>
              </w:rPr>
              <w:t xml:space="preserve">C Migrant Program </w:t>
            </w:r>
          </w:p>
        </w:tc>
        <w:tc>
          <w:tcPr>
            <w:tcW w:w="4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Waived with exception per occurrence</w:t>
            </w:r>
          </w:p>
        </w:tc>
      </w:tr>
      <w:tr w:rsidR="00935F50" w:rsidRPr="00F42C12" w:rsidTr="00586059">
        <w:trPr>
          <w:trHeight w:val="287"/>
        </w:trPr>
        <w:tc>
          <w:tcPr>
            <w:tcW w:w="5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II</w:t>
            </w:r>
            <w:r w:rsidR="00586059" w:rsidRPr="00F42C12">
              <w:rPr>
                <w:szCs w:val="24"/>
              </w:rPr>
              <w:t>-</w:t>
            </w:r>
            <w:r w:rsidRPr="00F42C12">
              <w:rPr>
                <w:szCs w:val="24"/>
              </w:rPr>
              <w:t>A Improving Teacher Quality</w:t>
            </w:r>
          </w:p>
        </w:tc>
        <w:tc>
          <w:tcPr>
            <w:tcW w:w="4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Waived with exception per occurrence</w:t>
            </w:r>
          </w:p>
        </w:tc>
      </w:tr>
      <w:tr w:rsidR="00935F50" w:rsidRPr="00F42C12" w:rsidTr="00586059">
        <w:trPr>
          <w:trHeight w:val="287"/>
        </w:trPr>
        <w:tc>
          <w:tcPr>
            <w:tcW w:w="5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III</w:t>
            </w:r>
            <w:r w:rsidR="00586059" w:rsidRPr="00F42C12">
              <w:rPr>
                <w:szCs w:val="24"/>
              </w:rPr>
              <w:t>-A</w:t>
            </w:r>
            <w:r w:rsidRPr="00F42C12">
              <w:rPr>
                <w:szCs w:val="24"/>
              </w:rPr>
              <w:t xml:space="preserve"> English Language Acquisition</w:t>
            </w:r>
          </w:p>
        </w:tc>
        <w:tc>
          <w:tcPr>
            <w:tcW w:w="4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Waived with exception per occurrence</w:t>
            </w:r>
          </w:p>
        </w:tc>
      </w:tr>
      <w:tr w:rsidR="00586059" w:rsidRPr="00F42C12" w:rsidTr="00586059">
        <w:trPr>
          <w:trHeight w:val="341"/>
        </w:trPr>
        <w:tc>
          <w:tcPr>
            <w:tcW w:w="5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6059" w:rsidRPr="00F42C12" w:rsidRDefault="00586059" w:rsidP="0058605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IV-A Student Support and Academic Enrichment</w:t>
            </w:r>
          </w:p>
        </w:tc>
        <w:tc>
          <w:tcPr>
            <w:tcW w:w="4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86059" w:rsidRPr="00F42C12" w:rsidRDefault="00586059" w:rsidP="0058605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Waived with exception per occurrence</w:t>
            </w:r>
          </w:p>
        </w:tc>
      </w:tr>
      <w:tr w:rsidR="00935F50" w:rsidRPr="00F42C12" w:rsidTr="00586059">
        <w:trPr>
          <w:trHeight w:val="341"/>
        </w:trPr>
        <w:tc>
          <w:tcPr>
            <w:tcW w:w="5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V-B Rural and Low Income</w:t>
            </w:r>
          </w:p>
        </w:tc>
        <w:tc>
          <w:tcPr>
            <w:tcW w:w="4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F50" w:rsidRPr="00F42C12" w:rsidRDefault="00935F50" w:rsidP="00EC7B99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Waived with exception per occurrence</w:t>
            </w:r>
          </w:p>
        </w:tc>
      </w:tr>
      <w:tr w:rsidR="00547544" w:rsidRPr="00F42C12" w:rsidTr="00547544">
        <w:trPr>
          <w:trHeight w:val="19"/>
        </w:trPr>
        <w:tc>
          <w:tcPr>
            <w:tcW w:w="5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47544" w:rsidRPr="00F42C12" w:rsidRDefault="00547544" w:rsidP="00547544">
            <w:pPr>
              <w:pStyle w:val="NoSpacing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Title I School Improvement (Section 1003)</w:t>
            </w:r>
          </w:p>
        </w:tc>
        <w:tc>
          <w:tcPr>
            <w:tcW w:w="41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47544" w:rsidRPr="00F42C12" w:rsidRDefault="00BF3208" w:rsidP="00547544">
            <w:pPr>
              <w:pStyle w:val="NoSpacing"/>
              <w:jc w:val="both"/>
              <w:rPr>
                <w:szCs w:val="24"/>
                <w:highlight w:val="yellow"/>
              </w:rPr>
            </w:pPr>
            <w:r w:rsidRPr="00F42C12">
              <w:rPr>
                <w:szCs w:val="24"/>
              </w:rPr>
              <w:t>Once every three years</w:t>
            </w:r>
          </w:p>
        </w:tc>
      </w:tr>
    </w:tbl>
    <w:p w:rsidR="00DA3342" w:rsidRPr="00F42C12" w:rsidRDefault="00DA3342">
      <w:pPr>
        <w:spacing w:after="0" w:line="240" w:lineRule="auto"/>
        <w:rPr>
          <w:szCs w:val="24"/>
        </w:rPr>
      </w:pPr>
    </w:p>
    <w:p w:rsidR="00931A87" w:rsidRPr="00F42C12" w:rsidRDefault="00931A87" w:rsidP="00931A87">
      <w:pPr>
        <w:autoSpaceDE w:val="0"/>
        <w:autoSpaceDN w:val="0"/>
        <w:adjustRightInd w:val="0"/>
        <w:jc w:val="both"/>
        <w:rPr>
          <w:rFonts w:cs="Calibri"/>
          <w:b/>
          <w:szCs w:val="24"/>
        </w:rPr>
      </w:pPr>
      <w:r w:rsidRPr="00F42C12">
        <w:rPr>
          <w:rFonts w:cs="Calibri"/>
          <w:b/>
          <w:szCs w:val="24"/>
        </w:rPr>
        <w:t xml:space="preserve">Waivers as a </w:t>
      </w:r>
      <w:r w:rsidR="009F4D1F" w:rsidRPr="00F42C12">
        <w:rPr>
          <w:rFonts w:cs="Calibri"/>
          <w:b/>
          <w:szCs w:val="24"/>
        </w:rPr>
        <w:t>R</w:t>
      </w:r>
      <w:r w:rsidRPr="00F42C12">
        <w:rPr>
          <w:rFonts w:cs="Calibri"/>
          <w:b/>
          <w:szCs w:val="24"/>
        </w:rPr>
        <w:t>esult of COVID-19</w:t>
      </w:r>
    </w:p>
    <w:p w:rsidR="00931A87" w:rsidRPr="00F42C12" w:rsidRDefault="00931A87" w:rsidP="004664C3">
      <w:pPr>
        <w:jc w:val="both"/>
        <w:rPr>
          <w:szCs w:val="24"/>
        </w:rPr>
      </w:pPr>
      <w:r w:rsidRPr="00F42C12">
        <w:rPr>
          <w:szCs w:val="24"/>
        </w:rPr>
        <w:t xml:space="preserve">As a result of COVID-19, </w:t>
      </w:r>
      <w:r w:rsidR="009F4D1F" w:rsidRPr="00F42C12">
        <w:rPr>
          <w:szCs w:val="24"/>
        </w:rPr>
        <w:t xml:space="preserve">the U.S. Department of Education waived the three-year </w:t>
      </w:r>
      <w:r w:rsidR="0086468A" w:rsidRPr="00F42C12">
        <w:rPr>
          <w:szCs w:val="24"/>
        </w:rPr>
        <w:t xml:space="preserve">limitation </w:t>
      </w:r>
      <w:r w:rsidR="009F4D1F" w:rsidRPr="00F42C12">
        <w:rPr>
          <w:szCs w:val="24"/>
        </w:rPr>
        <w:t xml:space="preserve">period of requesting waivers. In other words, </w:t>
      </w:r>
      <w:r w:rsidRPr="00F42C12">
        <w:rPr>
          <w:szCs w:val="24"/>
        </w:rPr>
        <w:t xml:space="preserve">LEAs were eligible to request a waiver </w:t>
      </w:r>
      <w:r w:rsidR="009F4D1F" w:rsidRPr="00F42C12">
        <w:rPr>
          <w:szCs w:val="24"/>
        </w:rPr>
        <w:t>for a second time, even if they had already received a waiver within the previous three years. LEAs that had requested a waiver during the 2020-202</w:t>
      </w:r>
      <w:r w:rsidR="0086468A" w:rsidRPr="00F42C12">
        <w:rPr>
          <w:szCs w:val="24"/>
        </w:rPr>
        <w:t>1</w:t>
      </w:r>
      <w:r w:rsidR="009F4D1F" w:rsidRPr="00F42C12">
        <w:rPr>
          <w:szCs w:val="24"/>
        </w:rPr>
        <w:t xml:space="preserve"> year for 2019-2021 excessive carryover will not be able to receive another waiver.</w:t>
      </w:r>
    </w:p>
    <w:p w:rsidR="00893972" w:rsidRPr="00F42C12" w:rsidRDefault="0039140B" w:rsidP="00893972">
      <w:pPr>
        <w:autoSpaceDE w:val="0"/>
        <w:autoSpaceDN w:val="0"/>
        <w:adjustRightInd w:val="0"/>
        <w:jc w:val="center"/>
        <w:rPr>
          <w:rFonts w:cs="Calibri"/>
          <w:b/>
          <w:szCs w:val="24"/>
        </w:rPr>
      </w:pPr>
      <w:r w:rsidRPr="00F42C12">
        <w:rPr>
          <w:rFonts w:cs="Calibri"/>
          <w:b/>
          <w:szCs w:val="24"/>
        </w:rPr>
        <w:t xml:space="preserve">Title I-A </w:t>
      </w:r>
      <w:r w:rsidR="00893972" w:rsidRPr="00F42C12">
        <w:rPr>
          <w:rFonts w:cs="Calibri"/>
          <w:b/>
          <w:szCs w:val="24"/>
        </w:rPr>
        <w:t>Waiver Timeline Example</w:t>
      </w:r>
      <w:r w:rsidR="00301808" w:rsidRPr="00F42C12">
        <w:rPr>
          <w:rFonts w:cs="Calibri"/>
          <w:b/>
          <w:szCs w:val="24"/>
        </w:rPr>
        <w:t xml:space="preserve"> as </w:t>
      </w:r>
      <w:r w:rsidR="003E4469" w:rsidRPr="00F42C12">
        <w:rPr>
          <w:rFonts w:cs="Calibri"/>
          <w:b/>
          <w:szCs w:val="24"/>
        </w:rPr>
        <w:t>R</w:t>
      </w:r>
      <w:r w:rsidR="00301808" w:rsidRPr="00F42C12">
        <w:rPr>
          <w:rFonts w:cs="Calibri"/>
          <w:b/>
          <w:szCs w:val="24"/>
        </w:rPr>
        <w:t xml:space="preserve">esult of the </w:t>
      </w:r>
      <w:r w:rsidR="003E4469" w:rsidRPr="00F42C12">
        <w:rPr>
          <w:rFonts w:cs="Calibri"/>
          <w:b/>
          <w:szCs w:val="24"/>
        </w:rPr>
        <w:t>W</w:t>
      </w:r>
      <w:r w:rsidR="00301808" w:rsidRPr="00F42C12">
        <w:rPr>
          <w:rFonts w:cs="Calibri"/>
          <w:b/>
          <w:szCs w:val="24"/>
        </w:rPr>
        <w:t xml:space="preserve">aiver </w:t>
      </w:r>
      <w:r w:rsidR="003E4469" w:rsidRPr="00F42C12">
        <w:rPr>
          <w:rFonts w:cs="Calibri"/>
          <w:b/>
          <w:szCs w:val="24"/>
        </w:rPr>
        <w:t>Ex</w:t>
      </w:r>
      <w:r w:rsidR="00301808" w:rsidRPr="00F42C12">
        <w:rPr>
          <w:rFonts w:cs="Calibri"/>
          <w:b/>
          <w:szCs w:val="24"/>
        </w:rPr>
        <w:t>tended due to COVID-19</w:t>
      </w:r>
      <w:r w:rsidR="00931A87" w:rsidRPr="00F42C12">
        <w:rPr>
          <w:rFonts w:cs="Calibri"/>
          <w:b/>
          <w:szCs w:val="24"/>
        </w:rPr>
        <w:t xml:space="preserve"> – Example 1</w:t>
      </w:r>
    </w:p>
    <w:tbl>
      <w:tblPr>
        <w:tblW w:w="912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Waiver per program"/>
        <w:tblDescription w:val="Waiver per program"/>
      </w:tblPr>
      <w:tblGrid>
        <w:gridCol w:w="2191"/>
        <w:gridCol w:w="2430"/>
        <w:gridCol w:w="4500"/>
      </w:tblGrid>
      <w:tr w:rsidR="000F77EB" w:rsidRPr="00F42C12" w:rsidTr="00CC2FF1">
        <w:trPr>
          <w:trHeight w:val="360"/>
          <w:tblHeader/>
        </w:trPr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77EB" w:rsidRPr="00F42C12" w:rsidRDefault="00D63D2B" w:rsidP="000F77EB">
            <w:pPr>
              <w:pStyle w:val="NoSpacing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 xml:space="preserve">Carryover for </w:t>
            </w:r>
            <w:r w:rsidR="000F77EB" w:rsidRPr="00F42C12">
              <w:rPr>
                <w:b/>
                <w:szCs w:val="24"/>
              </w:rPr>
              <w:t>Year</w:t>
            </w:r>
            <w:r w:rsidRPr="00F42C12">
              <w:rPr>
                <w:b/>
                <w:szCs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77EB" w:rsidRPr="00F42C12" w:rsidRDefault="000F77EB" w:rsidP="000F77EB">
            <w:pPr>
              <w:pStyle w:val="NoSpacing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>Occurrence</w:t>
            </w:r>
          </w:p>
        </w:tc>
        <w:tc>
          <w:tcPr>
            <w:tcW w:w="4500" w:type="dxa"/>
          </w:tcPr>
          <w:p w:rsidR="000F77EB" w:rsidRPr="00F42C12" w:rsidRDefault="000F77EB" w:rsidP="000F77EB">
            <w:pPr>
              <w:pStyle w:val="NoSpacing"/>
              <w:ind w:firstLine="181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>Waiver Eligibility</w:t>
            </w:r>
          </w:p>
        </w:tc>
      </w:tr>
      <w:tr w:rsidR="00931A87" w:rsidRPr="00F42C12" w:rsidTr="00CC2FF1">
        <w:trPr>
          <w:trHeight w:val="720"/>
        </w:trPr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1A87" w:rsidRPr="00F42C12" w:rsidRDefault="00931A87" w:rsidP="00931A87">
            <w:pPr>
              <w:pStyle w:val="NoSpacing"/>
              <w:tabs>
                <w:tab w:val="left" w:pos="510"/>
              </w:tabs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Year 1 - 2018-2019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1A87" w:rsidRPr="00F42C12" w:rsidRDefault="0097781F" w:rsidP="00EE24DA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 xml:space="preserve">Excessive </w:t>
            </w:r>
            <w:r w:rsidR="00931A87" w:rsidRPr="00F42C12">
              <w:rPr>
                <w:szCs w:val="24"/>
              </w:rPr>
              <w:t>Carryover</w:t>
            </w:r>
            <w:r w:rsidRPr="00F42C12">
              <w:rPr>
                <w:szCs w:val="24"/>
              </w:rPr>
              <w:t xml:space="preserve"> Requested</w:t>
            </w:r>
          </w:p>
        </w:tc>
        <w:tc>
          <w:tcPr>
            <w:tcW w:w="4500" w:type="dxa"/>
          </w:tcPr>
          <w:p w:rsidR="00931A87" w:rsidRPr="00F42C12" w:rsidRDefault="00931A87" w:rsidP="00931A87">
            <w:pPr>
              <w:pStyle w:val="NoSpacing"/>
              <w:ind w:firstLine="181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Yes</w:t>
            </w:r>
            <w:r w:rsidR="0097781F" w:rsidRPr="00F42C12">
              <w:rPr>
                <w:szCs w:val="24"/>
              </w:rPr>
              <w:t xml:space="preserve"> – Excessive Carryover Waiver used</w:t>
            </w:r>
          </w:p>
        </w:tc>
      </w:tr>
      <w:tr w:rsidR="0097781F" w:rsidRPr="00F42C12" w:rsidTr="00CC2FF1">
        <w:trPr>
          <w:trHeight w:val="720"/>
        </w:trPr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81F" w:rsidRPr="00F42C12" w:rsidRDefault="0097781F" w:rsidP="0097781F">
            <w:pPr>
              <w:pStyle w:val="NoSpacing"/>
              <w:tabs>
                <w:tab w:val="left" w:pos="510"/>
              </w:tabs>
              <w:jc w:val="both"/>
              <w:rPr>
                <w:szCs w:val="24"/>
              </w:rPr>
            </w:pPr>
            <w:r w:rsidRPr="00F42C12">
              <w:rPr>
                <w:szCs w:val="24"/>
              </w:rPr>
              <w:lastRenderedPageBreak/>
              <w:t>Year 2 - 2019-2020 - COVID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81F" w:rsidRPr="00F42C12" w:rsidRDefault="0097781F" w:rsidP="00EE24DA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>Excessive Carryover Requested</w:t>
            </w:r>
          </w:p>
        </w:tc>
        <w:tc>
          <w:tcPr>
            <w:tcW w:w="4500" w:type="dxa"/>
          </w:tcPr>
          <w:p w:rsidR="0097781F" w:rsidRPr="00F42C12" w:rsidRDefault="0097781F" w:rsidP="0097781F">
            <w:pPr>
              <w:pStyle w:val="NoSpacing"/>
              <w:ind w:firstLine="181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Yes – three-year limitation waived by US ED</w:t>
            </w:r>
          </w:p>
        </w:tc>
      </w:tr>
      <w:tr w:rsidR="0097781F" w:rsidRPr="00F42C12" w:rsidTr="00CC2FF1">
        <w:trPr>
          <w:trHeight w:val="720"/>
        </w:trPr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81F" w:rsidRPr="00F42C12" w:rsidRDefault="0097781F" w:rsidP="0097781F">
            <w:pPr>
              <w:pStyle w:val="NoSpacing"/>
              <w:tabs>
                <w:tab w:val="left" w:pos="510"/>
              </w:tabs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Year 3 - 2020-2021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81F" w:rsidRPr="00F42C12" w:rsidRDefault="0097781F" w:rsidP="00EE24DA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>Excessive Carryover Requested/ Excessive Carryover Removed</w:t>
            </w:r>
          </w:p>
        </w:tc>
        <w:tc>
          <w:tcPr>
            <w:tcW w:w="4500" w:type="dxa"/>
          </w:tcPr>
          <w:p w:rsidR="0097781F" w:rsidRPr="00F42C12" w:rsidRDefault="0097781F" w:rsidP="0097781F">
            <w:pPr>
              <w:pStyle w:val="NoSpacing"/>
              <w:ind w:left="181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No – unless US ED waiver of three-year limitation has been extended</w:t>
            </w:r>
          </w:p>
        </w:tc>
      </w:tr>
    </w:tbl>
    <w:p w:rsidR="007B03AC" w:rsidRPr="00F42C12" w:rsidRDefault="007B03AC" w:rsidP="00B703E5">
      <w:pPr>
        <w:jc w:val="both"/>
        <w:rPr>
          <w:rFonts w:cs="Calibri"/>
          <w:szCs w:val="24"/>
        </w:rPr>
      </w:pPr>
    </w:p>
    <w:p w:rsidR="00931A87" w:rsidRPr="00F42C12" w:rsidRDefault="00931A87" w:rsidP="00931A87">
      <w:pPr>
        <w:autoSpaceDE w:val="0"/>
        <w:autoSpaceDN w:val="0"/>
        <w:adjustRightInd w:val="0"/>
        <w:jc w:val="center"/>
        <w:rPr>
          <w:rFonts w:cs="Calibri"/>
          <w:szCs w:val="24"/>
        </w:rPr>
      </w:pPr>
      <w:r w:rsidRPr="00F42C12">
        <w:rPr>
          <w:rFonts w:cs="Calibri"/>
          <w:b/>
          <w:szCs w:val="24"/>
        </w:rPr>
        <w:t>Title I-A Waiver Timeline Example as Result of the Waiver Extended due to COVID-19 – Example 2</w:t>
      </w:r>
    </w:p>
    <w:tbl>
      <w:tblPr>
        <w:tblW w:w="912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Waiver per program"/>
        <w:tblDescription w:val="Waiver per program"/>
      </w:tblPr>
      <w:tblGrid>
        <w:gridCol w:w="2191"/>
        <w:gridCol w:w="2430"/>
        <w:gridCol w:w="4500"/>
      </w:tblGrid>
      <w:tr w:rsidR="00931A87" w:rsidRPr="00F42C12" w:rsidTr="00CC2FF1">
        <w:trPr>
          <w:trHeight w:val="360"/>
          <w:tblHeader/>
        </w:trPr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A87" w:rsidRPr="00F42C12" w:rsidRDefault="00931A87" w:rsidP="00381929">
            <w:pPr>
              <w:pStyle w:val="NoSpacing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 xml:space="preserve">Carryover for Year 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1A87" w:rsidRPr="00F42C12" w:rsidRDefault="00931A87" w:rsidP="00381929">
            <w:pPr>
              <w:pStyle w:val="NoSpacing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>Occurrence</w:t>
            </w:r>
          </w:p>
        </w:tc>
        <w:tc>
          <w:tcPr>
            <w:tcW w:w="4500" w:type="dxa"/>
          </w:tcPr>
          <w:p w:rsidR="00931A87" w:rsidRPr="00F42C12" w:rsidRDefault="00931A87" w:rsidP="00381929">
            <w:pPr>
              <w:pStyle w:val="NoSpacing"/>
              <w:ind w:firstLine="181"/>
              <w:jc w:val="both"/>
              <w:rPr>
                <w:b/>
                <w:szCs w:val="24"/>
              </w:rPr>
            </w:pPr>
            <w:r w:rsidRPr="00F42C12">
              <w:rPr>
                <w:b/>
                <w:szCs w:val="24"/>
              </w:rPr>
              <w:t>Waiver Eligibility</w:t>
            </w:r>
          </w:p>
        </w:tc>
      </w:tr>
      <w:tr w:rsidR="00931A87" w:rsidRPr="00F42C12" w:rsidTr="00CC2FF1">
        <w:trPr>
          <w:trHeight w:val="720"/>
        </w:trPr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1A87" w:rsidRPr="00F42C12" w:rsidRDefault="00931A87" w:rsidP="00381929">
            <w:pPr>
              <w:pStyle w:val="NoSpacing"/>
              <w:tabs>
                <w:tab w:val="left" w:pos="510"/>
              </w:tabs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Year 1 - 2018-2019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1A87" w:rsidRPr="00F42C12" w:rsidRDefault="00931A87" w:rsidP="00EE24DA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 xml:space="preserve">No </w:t>
            </w:r>
            <w:r w:rsidR="0097781F" w:rsidRPr="00F42C12">
              <w:rPr>
                <w:szCs w:val="24"/>
              </w:rPr>
              <w:t xml:space="preserve">Excessive </w:t>
            </w:r>
            <w:r w:rsidRPr="00F42C12">
              <w:rPr>
                <w:szCs w:val="24"/>
              </w:rPr>
              <w:t>Carryover</w:t>
            </w:r>
          </w:p>
        </w:tc>
        <w:tc>
          <w:tcPr>
            <w:tcW w:w="4500" w:type="dxa"/>
          </w:tcPr>
          <w:p w:rsidR="00931A87" w:rsidRPr="00F42C12" w:rsidRDefault="0097781F" w:rsidP="00381929">
            <w:pPr>
              <w:pStyle w:val="NoSpacing"/>
              <w:ind w:firstLine="181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No waiver request needed</w:t>
            </w:r>
          </w:p>
        </w:tc>
      </w:tr>
      <w:tr w:rsidR="0097781F" w:rsidRPr="00F42C12" w:rsidTr="00CC2FF1">
        <w:trPr>
          <w:trHeight w:val="720"/>
        </w:trPr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81F" w:rsidRPr="00F42C12" w:rsidRDefault="0097781F" w:rsidP="0097781F">
            <w:pPr>
              <w:pStyle w:val="NoSpacing"/>
              <w:tabs>
                <w:tab w:val="left" w:pos="510"/>
              </w:tabs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Year 2 - 2019-2020 - COVID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81F" w:rsidRPr="00F42C12" w:rsidRDefault="0097781F" w:rsidP="00EE24DA">
            <w:pPr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Excessive Carryover Requested</w:t>
            </w:r>
          </w:p>
        </w:tc>
        <w:tc>
          <w:tcPr>
            <w:tcW w:w="4500" w:type="dxa"/>
          </w:tcPr>
          <w:p w:rsidR="0097781F" w:rsidRPr="00F42C12" w:rsidRDefault="00715E21" w:rsidP="0097781F">
            <w:pPr>
              <w:pStyle w:val="NoSpacing"/>
              <w:ind w:firstLine="181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Yes – three-year limitation waived by US ED</w:t>
            </w:r>
          </w:p>
        </w:tc>
      </w:tr>
      <w:tr w:rsidR="0097781F" w:rsidRPr="00F42C12" w:rsidTr="00CC2FF1">
        <w:trPr>
          <w:trHeight w:val="720"/>
        </w:trPr>
        <w:tc>
          <w:tcPr>
            <w:tcW w:w="21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81F" w:rsidRPr="00F42C12" w:rsidRDefault="0097781F" w:rsidP="0097781F">
            <w:pPr>
              <w:pStyle w:val="NoSpacing"/>
              <w:tabs>
                <w:tab w:val="left" w:pos="510"/>
              </w:tabs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Year 3 - 2020-2021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781F" w:rsidRPr="00F42C12" w:rsidRDefault="0097781F" w:rsidP="00EE24DA">
            <w:pPr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Excessive Carryover Requested</w:t>
            </w:r>
          </w:p>
        </w:tc>
        <w:tc>
          <w:tcPr>
            <w:tcW w:w="4500" w:type="dxa"/>
          </w:tcPr>
          <w:p w:rsidR="0097781F" w:rsidRPr="00F42C12" w:rsidRDefault="0097781F" w:rsidP="0097781F">
            <w:pPr>
              <w:pStyle w:val="NoSpacing"/>
              <w:ind w:left="181"/>
              <w:jc w:val="both"/>
              <w:rPr>
                <w:szCs w:val="24"/>
              </w:rPr>
            </w:pPr>
            <w:r w:rsidRPr="00F42C12">
              <w:rPr>
                <w:szCs w:val="24"/>
              </w:rPr>
              <w:t>No – unless US ED waiver of three-year limitation has been extended</w:t>
            </w:r>
          </w:p>
        </w:tc>
      </w:tr>
    </w:tbl>
    <w:p w:rsidR="00E66955" w:rsidRDefault="00E66955" w:rsidP="00DA3342">
      <w:pPr>
        <w:autoSpaceDE w:val="0"/>
        <w:autoSpaceDN w:val="0"/>
        <w:adjustRightInd w:val="0"/>
        <w:jc w:val="center"/>
        <w:rPr>
          <w:rFonts w:cs="Calibri"/>
          <w:b/>
          <w:szCs w:val="24"/>
        </w:rPr>
      </w:pPr>
    </w:p>
    <w:p w:rsidR="0097781F" w:rsidRPr="00F42C12" w:rsidRDefault="0097781F" w:rsidP="00DA3342">
      <w:pPr>
        <w:autoSpaceDE w:val="0"/>
        <w:autoSpaceDN w:val="0"/>
        <w:adjustRightInd w:val="0"/>
        <w:jc w:val="center"/>
        <w:rPr>
          <w:rFonts w:cs="Calibri"/>
          <w:b/>
          <w:szCs w:val="24"/>
        </w:rPr>
      </w:pPr>
      <w:r w:rsidRPr="00F42C12">
        <w:rPr>
          <w:rFonts w:cs="Calibri"/>
          <w:b/>
          <w:szCs w:val="24"/>
        </w:rPr>
        <w:t>Title I-A Waiver Timeline Example as Result of the Waiver Extended due to COVID-19 – Example 3</w:t>
      </w:r>
    </w:p>
    <w:tbl>
      <w:tblPr>
        <w:tblW w:w="9121" w:type="dxa"/>
        <w:tblInd w:w="2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Waiver per program"/>
        <w:tblDescription w:val="Waiver per program"/>
      </w:tblPr>
      <w:tblGrid>
        <w:gridCol w:w="2191"/>
        <w:gridCol w:w="2430"/>
        <w:gridCol w:w="4500"/>
      </w:tblGrid>
      <w:tr w:rsidR="0097781F" w:rsidRPr="00F42C12" w:rsidTr="00CC2FF1">
        <w:trPr>
          <w:trHeight w:val="360"/>
          <w:tblHeader/>
        </w:trPr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81F" w:rsidRPr="00F42C12" w:rsidRDefault="0097781F">
            <w:pPr>
              <w:pStyle w:val="NoSpacing"/>
              <w:rPr>
                <w:b/>
                <w:bCs/>
                <w:szCs w:val="24"/>
              </w:rPr>
            </w:pPr>
            <w:r w:rsidRPr="00F42C12">
              <w:rPr>
                <w:b/>
                <w:bCs/>
                <w:szCs w:val="24"/>
              </w:rPr>
              <w:t xml:space="preserve">Carryover for Year 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81F" w:rsidRPr="00F42C12" w:rsidRDefault="0097781F">
            <w:pPr>
              <w:pStyle w:val="NoSpacing"/>
              <w:rPr>
                <w:b/>
                <w:bCs/>
                <w:szCs w:val="24"/>
              </w:rPr>
            </w:pPr>
            <w:r w:rsidRPr="00F42C12">
              <w:rPr>
                <w:b/>
                <w:bCs/>
                <w:szCs w:val="24"/>
              </w:rPr>
              <w:t>Occurrence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781F" w:rsidRPr="00F42C12" w:rsidRDefault="0097781F">
            <w:pPr>
              <w:pStyle w:val="NoSpacing"/>
              <w:ind w:firstLine="181"/>
              <w:rPr>
                <w:b/>
                <w:bCs/>
                <w:szCs w:val="24"/>
              </w:rPr>
            </w:pPr>
            <w:r w:rsidRPr="00F42C12">
              <w:rPr>
                <w:b/>
                <w:bCs/>
                <w:szCs w:val="24"/>
              </w:rPr>
              <w:t>Waiver Eligibility</w:t>
            </w:r>
          </w:p>
        </w:tc>
      </w:tr>
      <w:tr w:rsidR="0097781F" w:rsidRPr="00F42C12" w:rsidTr="00CC2FF1">
        <w:trPr>
          <w:trHeight w:val="720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81F" w:rsidRPr="00F42C12" w:rsidRDefault="0097781F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>Year 1 - 2018-2019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81F" w:rsidRPr="00F42C12" w:rsidRDefault="0097781F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>No Excessive Carryover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781F" w:rsidRPr="00F42C12" w:rsidRDefault="0097781F">
            <w:pPr>
              <w:pStyle w:val="NoSpacing"/>
              <w:ind w:firstLine="181"/>
              <w:rPr>
                <w:szCs w:val="24"/>
              </w:rPr>
            </w:pPr>
            <w:r w:rsidRPr="00F42C12">
              <w:rPr>
                <w:szCs w:val="24"/>
              </w:rPr>
              <w:t>N/A</w:t>
            </w:r>
          </w:p>
        </w:tc>
      </w:tr>
      <w:tr w:rsidR="0097781F" w:rsidRPr="00F42C12" w:rsidTr="00CC2FF1">
        <w:trPr>
          <w:trHeight w:val="720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81F" w:rsidRPr="00F42C12" w:rsidRDefault="0097781F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>Year 2 - 2019-2020 - COVID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81F" w:rsidRPr="00F42C12" w:rsidRDefault="0097781F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>No Excessive Carryover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781F" w:rsidRPr="00F42C12" w:rsidRDefault="0097781F" w:rsidP="0097781F">
            <w:pPr>
              <w:pStyle w:val="NoSpacing"/>
              <w:ind w:left="181"/>
              <w:rPr>
                <w:szCs w:val="24"/>
              </w:rPr>
            </w:pPr>
            <w:r w:rsidRPr="00F42C12">
              <w:rPr>
                <w:szCs w:val="24"/>
              </w:rPr>
              <w:t>N/A</w:t>
            </w:r>
            <w:r w:rsidR="00EE24DA" w:rsidRPr="00F42C12">
              <w:rPr>
                <w:szCs w:val="24"/>
              </w:rPr>
              <w:t xml:space="preserve"> </w:t>
            </w:r>
            <w:r w:rsidRPr="00F42C12">
              <w:rPr>
                <w:szCs w:val="24"/>
              </w:rPr>
              <w:t>(US ED waiver of three-year limitation was available, but not used)</w:t>
            </w:r>
          </w:p>
        </w:tc>
      </w:tr>
      <w:tr w:rsidR="0097781F" w:rsidRPr="00F42C12" w:rsidTr="00CC2FF1">
        <w:trPr>
          <w:trHeight w:val="720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81F" w:rsidRPr="00F42C12" w:rsidRDefault="0097781F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>Year 3 - 2020-2021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81F" w:rsidRPr="00F42C12" w:rsidRDefault="0097781F">
            <w:pPr>
              <w:pStyle w:val="NoSpacing"/>
              <w:rPr>
                <w:szCs w:val="24"/>
              </w:rPr>
            </w:pPr>
            <w:r w:rsidRPr="00F42C12">
              <w:rPr>
                <w:szCs w:val="24"/>
              </w:rPr>
              <w:t>Excessive Carryover requested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7781F" w:rsidRPr="00F42C12" w:rsidRDefault="0097781F">
            <w:pPr>
              <w:pStyle w:val="NoSpacing"/>
              <w:ind w:firstLine="181"/>
              <w:rPr>
                <w:szCs w:val="24"/>
              </w:rPr>
            </w:pPr>
            <w:r w:rsidRPr="00F42C12">
              <w:rPr>
                <w:szCs w:val="24"/>
              </w:rPr>
              <w:t>Y</w:t>
            </w:r>
            <w:r w:rsidR="00EE24DA" w:rsidRPr="00F42C12">
              <w:rPr>
                <w:szCs w:val="24"/>
              </w:rPr>
              <w:t>es</w:t>
            </w:r>
          </w:p>
        </w:tc>
      </w:tr>
    </w:tbl>
    <w:p w:rsidR="0097781F" w:rsidRPr="00F42C12" w:rsidRDefault="0097781F">
      <w:pPr>
        <w:spacing w:after="0" w:line="240" w:lineRule="auto"/>
        <w:rPr>
          <w:rFonts w:eastAsia="Times New Roman" w:cs="Calibri"/>
          <w:b/>
          <w:bCs/>
          <w:color w:val="365F91" w:themeColor="accent1" w:themeShade="BF"/>
          <w:szCs w:val="24"/>
        </w:rPr>
      </w:pPr>
    </w:p>
    <w:p w:rsidR="00935F50" w:rsidRPr="00F42C12" w:rsidRDefault="00935F50" w:rsidP="00EC7B99">
      <w:pPr>
        <w:pStyle w:val="Heading2"/>
        <w:jc w:val="center"/>
        <w:rPr>
          <w:rFonts w:ascii="Calibri" w:hAnsi="Calibri" w:cs="Calibri"/>
          <w:szCs w:val="24"/>
        </w:rPr>
      </w:pPr>
      <w:r w:rsidRPr="00F42C12">
        <w:rPr>
          <w:rFonts w:ascii="Calibri" w:hAnsi="Calibri" w:cs="Calibri"/>
          <w:szCs w:val="24"/>
        </w:rPr>
        <w:lastRenderedPageBreak/>
        <w:t>Obligation Examples</w:t>
      </w:r>
    </w:p>
    <w:p w:rsidR="00931A87" w:rsidRPr="00F42C12" w:rsidRDefault="00931A87" w:rsidP="00931A87">
      <w:pPr>
        <w:rPr>
          <w:szCs w:val="24"/>
        </w:rPr>
      </w:pPr>
    </w:p>
    <w:p w:rsidR="00935F50" w:rsidRPr="00F42C12" w:rsidRDefault="00931A87" w:rsidP="00EE24DA">
      <w:pPr>
        <w:jc w:val="both"/>
        <w:rPr>
          <w:rFonts w:cs="Calibri"/>
          <w:szCs w:val="24"/>
        </w:rPr>
      </w:pPr>
      <w:r w:rsidRPr="00F42C12">
        <w:rPr>
          <w:rFonts w:cs="Calibri"/>
          <w:szCs w:val="24"/>
        </w:rPr>
        <w:t xml:space="preserve">It is important to understand that </w:t>
      </w:r>
      <w:r w:rsidRPr="00F42C12">
        <w:rPr>
          <w:rStyle w:val="IntenseEmphasis"/>
          <w:rFonts w:cs="Calibri"/>
          <w:color w:val="365F91" w:themeColor="accent1" w:themeShade="BF"/>
          <w:szCs w:val="24"/>
        </w:rPr>
        <w:t>“obligated</w:t>
      </w:r>
      <w:r w:rsidRPr="00F42C12">
        <w:rPr>
          <w:rFonts w:cs="Calibri"/>
          <w:color w:val="365F91" w:themeColor="accent1" w:themeShade="BF"/>
          <w:szCs w:val="24"/>
        </w:rPr>
        <w:t xml:space="preserve">” </w:t>
      </w:r>
      <w:r w:rsidRPr="00F42C12">
        <w:rPr>
          <w:rFonts w:cs="Calibri"/>
          <w:szCs w:val="24"/>
        </w:rPr>
        <w:t xml:space="preserve">does not necessarily mean </w:t>
      </w:r>
      <w:r w:rsidRPr="00F42C12">
        <w:rPr>
          <w:rStyle w:val="IntenseEmphasis"/>
          <w:rFonts w:cs="Calibri"/>
          <w:color w:val="365F91" w:themeColor="accent1" w:themeShade="BF"/>
          <w:szCs w:val="24"/>
        </w:rPr>
        <w:t xml:space="preserve">“spent”. </w:t>
      </w:r>
      <w:r w:rsidRPr="00F42C12">
        <w:rPr>
          <w:rFonts w:cs="Calibri"/>
          <w:szCs w:val="24"/>
        </w:rPr>
        <w:t>Obligation occurs when the agency or an LEA has entered into a binding commitment to pay out money, such as entering into a contract to pay for supplies or services.</w:t>
      </w:r>
      <w:r w:rsidR="00EE24DA" w:rsidRPr="00F42C12">
        <w:rPr>
          <w:rFonts w:cs="Calibri"/>
          <w:szCs w:val="24"/>
        </w:rPr>
        <w:t xml:space="preserve"> </w:t>
      </w:r>
      <w:r w:rsidR="00935F50" w:rsidRPr="00F42C12">
        <w:rPr>
          <w:rFonts w:cs="Calibri"/>
          <w:szCs w:val="24"/>
        </w:rPr>
        <w:t>Reference: 34 C.F.R. § 75.707; 34 C.F.R. § 76.707.</w:t>
      </w:r>
    </w:p>
    <w:tbl>
      <w:tblPr>
        <w:tblW w:w="95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bligation Examples"/>
        <w:tblDescription w:val="Obligation Examples"/>
      </w:tblPr>
      <w:tblGrid>
        <w:gridCol w:w="4940"/>
        <w:gridCol w:w="4590"/>
      </w:tblGrid>
      <w:tr w:rsidR="00935F50" w:rsidRPr="00F42C12" w:rsidTr="00EC7B99">
        <w:trPr>
          <w:tblHeader/>
        </w:trPr>
        <w:tc>
          <w:tcPr>
            <w:tcW w:w="4940" w:type="dxa"/>
          </w:tcPr>
          <w:p w:rsidR="00935F50" w:rsidRPr="00F42C12" w:rsidRDefault="00935F50" w:rsidP="004F5F24">
            <w:pPr>
              <w:ind w:left="90"/>
              <w:jc w:val="both"/>
              <w:rPr>
                <w:rFonts w:cs="Calibri"/>
                <w:b/>
                <w:szCs w:val="24"/>
              </w:rPr>
            </w:pPr>
            <w:r w:rsidRPr="00F42C12">
              <w:rPr>
                <w:rFonts w:cs="Calibri"/>
                <w:b/>
                <w:szCs w:val="24"/>
              </w:rPr>
              <w:t>If the obligation is for:</w:t>
            </w:r>
          </w:p>
        </w:tc>
        <w:tc>
          <w:tcPr>
            <w:tcW w:w="4590" w:type="dxa"/>
          </w:tcPr>
          <w:p w:rsidR="00935F50" w:rsidRPr="00F42C12" w:rsidRDefault="00935F50" w:rsidP="004F5F24">
            <w:pPr>
              <w:ind w:left="90"/>
              <w:jc w:val="both"/>
              <w:rPr>
                <w:rFonts w:cs="Calibri"/>
                <w:b/>
                <w:szCs w:val="24"/>
              </w:rPr>
            </w:pPr>
            <w:r w:rsidRPr="00F42C12">
              <w:rPr>
                <w:rFonts w:cs="Calibri"/>
                <w:b/>
                <w:szCs w:val="24"/>
              </w:rPr>
              <w:t>The obligation is made:</w:t>
            </w:r>
          </w:p>
        </w:tc>
      </w:tr>
      <w:tr w:rsidR="00935F50" w:rsidRPr="00F42C12" w:rsidTr="007B03AC">
        <w:trPr>
          <w:trHeight w:val="647"/>
        </w:trPr>
        <w:tc>
          <w:tcPr>
            <w:tcW w:w="494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Acquisition of property</w:t>
            </w:r>
          </w:p>
        </w:tc>
        <w:tc>
          <w:tcPr>
            <w:tcW w:w="459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On the date which the LEA makes a binding written commitment to acquire the property</w:t>
            </w:r>
          </w:p>
        </w:tc>
      </w:tr>
      <w:tr w:rsidR="00935F50" w:rsidRPr="00F42C12" w:rsidTr="00EC7B99">
        <w:tc>
          <w:tcPr>
            <w:tcW w:w="494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Personal services by an employee of the LEA</w:t>
            </w:r>
          </w:p>
        </w:tc>
        <w:tc>
          <w:tcPr>
            <w:tcW w:w="459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When the services are performed</w:t>
            </w:r>
          </w:p>
        </w:tc>
      </w:tr>
      <w:tr w:rsidR="00935F50" w:rsidRPr="00F42C12" w:rsidTr="00EC7B99">
        <w:tc>
          <w:tcPr>
            <w:tcW w:w="494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Personal services by a contractor who is not an employee of the LEA</w:t>
            </w:r>
          </w:p>
        </w:tc>
        <w:tc>
          <w:tcPr>
            <w:tcW w:w="459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On the date which the LEA makes a binding written commitment to obtain the services</w:t>
            </w:r>
          </w:p>
        </w:tc>
      </w:tr>
      <w:tr w:rsidR="00935F50" w:rsidRPr="00F42C12" w:rsidTr="00EC7B99">
        <w:tc>
          <w:tcPr>
            <w:tcW w:w="494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Public utility services</w:t>
            </w:r>
          </w:p>
        </w:tc>
        <w:tc>
          <w:tcPr>
            <w:tcW w:w="459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When the LEA receives the services</w:t>
            </w:r>
          </w:p>
        </w:tc>
      </w:tr>
      <w:tr w:rsidR="00935F50" w:rsidRPr="00F42C12" w:rsidTr="00EC7B99">
        <w:tc>
          <w:tcPr>
            <w:tcW w:w="494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Travel</w:t>
            </w:r>
          </w:p>
        </w:tc>
        <w:tc>
          <w:tcPr>
            <w:tcW w:w="459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When the travel is taken</w:t>
            </w:r>
          </w:p>
        </w:tc>
      </w:tr>
      <w:tr w:rsidR="00935F50" w:rsidRPr="00F42C12" w:rsidTr="00EC7B99">
        <w:tc>
          <w:tcPr>
            <w:tcW w:w="494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Rental of property</w:t>
            </w:r>
          </w:p>
        </w:tc>
        <w:tc>
          <w:tcPr>
            <w:tcW w:w="459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When the LEA uses the property</w:t>
            </w:r>
          </w:p>
        </w:tc>
      </w:tr>
      <w:tr w:rsidR="00935F50" w:rsidRPr="00F42C12" w:rsidTr="00B703E5">
        <w:trPr>
          <w:trHeight w:val="1178"/>
        </w:trPr>
        <w:tc>
          <w:tcPr>
            <w:tcW w:w="494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A pre-agreement cost that was properly approved by the Secretary under the cost principles in 2 CFR part 200, Subpart E- Cost Principles.</w:t>
            </w:r>
          </w:p>
        </w:tc>
        <w:tc>
          <w:tcPr>
            <w:tcW w:w="4590" w:type="dxa"/>
          </w:tcPr>
          <w:p w:rsidR="00935F50" w:rsidRPr="00F42C12" w:rsidRDefault="00935F50" w:rsidP="004F5F24">
            <w:pPr>
              <w:ind w:left="90"/>
              <w:rPr>
                <w:rFonts w:cs="Calibri"/>
                <w:szCs w:val="24"/>
              </w:rPr>
            </w:pPr>
            <w:r w:rsidRPr="00F42C12">
              <w:rPr>
                <w:rFonts w:cs="Calibri"/>
                <w:szCs w:val="24"/>
              </w:rPr>
              <w:t>On the first day of the project period</w:t>
            </w:r>
          </w:p>
        </w:tc>
      </w:tr>
    </w:tbl>
    <w:p w:rsidR="00524033" w:rsidRPr="00F42C12" w:rsidRDefault="00524033" w:rsidP="004A12C9">
      <w:pPr>
        <w:rPr>
          <w:rFonts w:cs="Calibri"/>
          <w:szCs w:val="24"/>
        </w:rPr>
      </w:pPr>
    </w:p>
    <w:sectPr w:rsidR="00524033" w:rsidRPr="00F42C12" w:rsidSect="00506298">
      <w:headerReference w:type="default" r:id="rId8"/>
      <w:footerReference w:type="default" r:id="rId9"/>
      <w:type w:val="continuous"/>
      <w:pgSz w:w="12240" w:h="15840"/>
      <w:pgMar w:top="1440" w:right="1440" w:bottom="1440" w:left="1440" w:header="0" w:footer="787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A0A" w:rsidRDefault="00E97A0A" w:rsidP="00FD5CEF">
      <w:pPr>
        <w:spacing w:after="0" w:line="240" w:lineRule="auto"/>
      </w:pPr>
      <w:r>
        <w:separator/>
      </w:r>
    </w:p>
  </w:endnote>
  <w:endnote w:type="continuationSeparator" w:id="0">
    <w:p w:rsidR="00E97A0A" w:rsidRDefault="00E97A0A" w:rsidP="00FD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112" w:rsidRDefault="00C13112" w:rsidP="00DA3342">
    <w:pPr>
      <w:pStyle w:val="Footer"/>
      <w:tabs>
        <w:tab w:val="clear" w:pos="4680"/>
        <w:tab w:val="clear" w:pos="9360"/>
      </w:tabs>
      <w:jc w:val="center"/>
    </w:pPr>
    <w:r w:rsidRPr="008F376D">
      <w:rPr>
        <w:caps/>
        <w:color w:val="365F91" w:themeColor="accent1" w:themeShade="BF"/>
      </w:rPr>
      <w:t xml:space="preserve">Page </w:t>
    </w:r>
    <w:r w:rsidRPr="008F376D">
      <w:rPr>
        <w:caps/>
        <w:color w:val="365F91" w:themeColor="accent1" w:themeShade="BF"/>
      </w:rPr>
      <w:fldChar w:fldCharType="begin"/>
    </w:r>
    <w:r w:rsidRPr="008F376D">
      <w:rPr>
        <w:caps/>
        <w:color w:val="365F91" w:themeColor="accent1" w:themeShade="BF"/>
      </w:rPr>
      <w:instrText xml:space="preserve"> PAGE   \* MERGEFORMAT </w:instrText>
    </w:r>
    <w:r w:rsidRPr="008F376D">
      <w:rPr>
        <w:caps/>
        <w:color w:val="365F91" w:themeColor="accent1" w:themeShade="BF"/>
      </w:rPr>
      <w:fldChar w:fldCharType="separate"/>
    </w:r>
    <w:r w:rsidRPr="008F376D">
      <w:rPr>
        <w:caps/>
        <w:noProof/>
        <w:color w:val="365F91" w:themeColor="accent1" w:themeShade="BF"/>
      </w:rPr>
      <w:t>2</w:t>
    </w:r>
    <w:r w:rsidRPr="008F376D">
      <w:rPr>
        <w:caps/>
        <w:noProof/>
        <w:color w:val="365F91" w:themeColor="accent1" w:themeShade="BF"/>
      </w:rPr>
      <w:fldChar w:fldCharType="end"/>
    </w:r>
    <w:r w:rsidRPr="008F376D">
      <w:rPr>
        <w:caps/>
        <w:noProof/>
        <w:color w:val="365F91" w:themeColor="accent1" w:themeShade="BF"/>
      </w:rPr>
      <w:t xml:space="preserve"> – rEVISED </w:t>
    </w:r>
    <w:r w:rsidR="008F3520">
      <w:rPr>
        <w:caps/>
        <w:noProof/>
        <w:color w:val="365F91" w:themeColor="accent1" w:themeShade="BF"/>
      </w:rPr>
      <w:t>04/07/2021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A0A" w:rsidRDefault="00E97A0A" w:rsidP="00FD5CEF">
      <w:pPr>
        <w:spacing w:after="0" w:line="240" w:lineRule="auto"/>
      </w:pPr>
      <w:r>
        <w:separator/>
      </w:r>
    </w:p>
  </w:footnote>
  <w:footnote w:type="continuationSeparator" w:id="0">
    <w:p w:rsidR="00E97A0A" w:rsidRDefault="00E97A0A" w:rsidP="00FD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05F" w:rsidRDefault="00FD4BFD" w:rsidP="00DF144D">
    <w:pPr>
      <w:pStyle w:val="Header"/>
      <w:tabs>
        <w:tab w:val="clear" w:pos="4680"/>
        <w:tab w:val="clear" w:pos="9360"/>
      </w:tabs>
      <w:ind w:left="-1440" w:right="-720"/>
      <w:rPr>
        <w:rFonts w:ascii="Franklin Gothic Book" w:hAnsi="Franklin Gothic Book" w:cs="Franklin Gothic Book"/>
        <w:b/>
        <w:caps/>
        <w:color w:val="595959" w:themeColor="text1" w:themeTint="A6"/>
        <w:sz w:val="18"/>
        <w:szCs w:val="14"/>
      </w:rPr>
    </w:pPr>
    <w:r>
      <w:rPr>
        <w:rFonts w:ascii="Franklin Gothic Book" w:hAnsi="Franklin Gothic Book" w:cs="Franklin Gothic Book"/>
        <w:b/>
        <w:caps/>
        <w:noProof/>
        <w:color w:val="595959" w:themeColor="text1" w:themeTint="A6"/>
        <w:sz w:val="18"/>
        <w:szCs w:val="14"/>
      </w:rPr>
      <w:drawing>
        <wp:inline distT="0" distB="0" distL="0" distR="0">
          <wp:extent cx="7772400" cy="1261354"/>
          <wp:effectExtent l="0" t="0" r="0" b="0"/>
          <wp:docPr id="7" name="Picture 7" descr="&quot;Idaho State Department of Education - Sherri Ybarra, ED.S. Superintendent of Public Instruction - 650 W. State Street, 2nd Floor, Boise, Idaho 83702 - 208 332 6800 www.sde.idaho.gov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cessible-letterhead-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61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AD1"/>
    <w:multiLevelType w:val="hybridMultilevel"/>
    <w:tmpl w:val="D31C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1AAC"/>
    <w:multiLevelType w:val="multilevel"/>
    <w:tmpl w:val="C1B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1F1A"/>
    <w:multiLevelType w:val="multilevel"/>
    <w:tmpl w:val="C92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7662B"/>
    <w:multiLevelType w:val="hybridMultilevel"/>
    <w:tmpl w:val="87762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5AD0"/>
    <w:multiLevelType w:val="multilevel"/>
    <w:tmpl w:val="3EBE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F6B24"/>
    <w:multiLevelType w:val="multilevel"/>
    <w:tmpl w:val="1D08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D32E9"/>
    <w:multiLevelType w:val="multilevel"/>
    <w:tmpl w:val="98B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21665"/>
    <w:multiLevelType w:val="hybridMultilevel"/>
    <w:tmpl w:val="3870A844"/>
    <w:lvl w:ilvl="0" w:tplc="0D34F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D3063"/>
    <w:multiLevelType w:val="hybridMultilevel"/>
    <w:tmpl w:val="F67C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6A88"/>
    <w:multiLevelType w:val="hybridMultilevel"/>
    <w:tmpl w:val="9878A96E"/>
    <w:lvl w:ilvl="0" w:tplc="45A650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4077"/>
    <w:multiLevelType w:val="hybridMultilevel"/>
    <w:tmpl w:val="2656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25308F"/>
    <w:multiLevelType w:val="hybridMultilevel"/>
    <w:tmpl w:val="1606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825E0"/>
    <w:multiLevelType w:val="multilevel"/>
    <w:tmpl w:val="5D54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D569A"/>
    <w:multiLevelType w:val="multilevel"/>
    <w:tmpl w:val="22DA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F0501E"/>
    <w:multiLevelType w:val="hybridMultilevel"/>
    <w:tmpl w:val="DD883FF4"/>
    <w:lvl w:ilvl="0" w:tplc="E77E75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B2742"/>
    <w:multiLevelType w:val="multilevel"/>
    <w:tmpl w:val="6C60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04F01"/>
    <w:multiLevelType w:val="hybridMultilevel"/>
    <w:tmpl w:val="5DA4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36A2"/>
    <w:multiLevelType w:val="hybridMultilevel"/>
    <w:tmpl w:val="63E0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A5401"/>
    <w:multiLevelType w:val="hybridMultilevel"/>
    <w:tmpl w:val="F454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7734D"/>
    <w:multiLevelType w:val="multilevel"/>
    <w:tmpl w:val="557A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097A8F"/>
    <w:multiLevelType w:val="hybridMultilevel"/>
    <w:tmpl w:val="DD883FF4"/>
    <w:lvl w:ilvl="0" w:tplc="E77E75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45D8F"/>
    <w:multiLevelType w:val="multilevel"/>
    <w:tmpl w:val="F66C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3F31A6"/>
    <w:multiLevelType w:val="hybridMultilevel"/>
    <w:tmpl w:val="0D442B78"/>
    <w:lvl w:ilvl="0" w:tplc="D3E6D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B3A5A"/>
    <w:multiLevelType w:val="hybridMultilevel"/>
    <w:tmpl w:val="8C64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16B88"/>
    <w:multiLevelType w:val="multilevel"/>
    <w:tmpl w:val="2A1C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463EE"/>
    <w:multiLevelType w:val="multilevel"/>
    <w:tmpl w:val="E47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E36BDB"/>
    <w:multiLevelType w:val="hybridMultilevel"/>
    <w:tmpl w:val="DD883FF4"/>
    <w:lvl w:ilvl="0" w:tplc="E77E75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3179B"/>
    <w:multiLevelType w:val="multilevel"/>
    <w:tmpl w:val="AF14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997635"/>
    <w:multiLevelType w:val="hybridMultilevel"/>
    <w:tmpl w:val="19B6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C042A"/>
    <w:multiLevelType w:val="multilevel"/>
    <w:tmpl w:val="EF4A7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73A5477F"/>
    <w:multiLevelType w:val="multilevel"/>
    <w:tmpl w:val="2592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</w:num>
  <w:num w:numId="3">
    <w:abstractNumId w:val="16"/>
  </w:num>
  <w:num w:numId="4">
    <w:abstractNumId w:val="24"/>
  </w:num>
  <w:num w:numId="5">
    <w:abstractNumId w:val="21"/>
  </w:num>
  <w:num w:numId="6">
    <w:abstractNumId w:val="20"/>
  </w:num>
  <w:num w:numId="7">
    <w:abstractNumId w:val="22"/>
  </w:num>
  <w:num w:numId="8">
    <w:abstractNumId w:val="11"/>
  </w:num>
  <w:num w:numId="9">
    <w:abstractNumId w:val="6"/>
  </w:num>
  <w:num w:numId="10">
    <w:abstractNumId w:val="29"/>
  </w:num>
  <w:num w:numId="11">
    <w:abstractNumId w:val="2"/>
  </w:num>
  <w:num w:numId="12">
    <w:abstractNumId w:val="31"/>
  </w:num>
  <w:num w:numId="13">
    <w:abstractNumId w:val="34"/>
  </w:num>
  <w:num w:numId="14">
    <w:abstractNumId w:val="14"/>
  </w:num>
  <w:num w:numId="15">
    <w:abstractNumId w:val="1"/>
  </w:num>
  <w:num w:numId="16">
    <w:abstractNumId w:val="17"/>
  </w:num>
  <w:num w:numId="17">
    <w:abstractNumId w:val="7"/>
  </w:num>
  <w:num w:numId="18">
    <w:abstractNumId w:val="3"/>
  </w:num>
  <w:num w:numId="19">
    <w:abstractNumId w:val="5"/>
  </w:num>
  <w:num w:numId="20">
    <w:abstractNumId w:val="28"/>
  </w:num>
  <w:num w:numId="21">
    <w:abstractNumId w:val="9"/>
  </w:num>
  <w:num w:numId="22">
    <w:abstractNumId w:val="13"/>
  </w:num>
  <w:num w:numId="23">
    <w:abstractNumId w:val="35"/>
  </w:num>
  <w:num w:numId="24">
    <w:abstractNumId w:val="18"/>
  </w:num>
  <w:num w:numId="25">
    <w:abstractNumId w:val="25"/>
  </w:num>
  <w:num w:numId="26">
    <w:abstractNumId w:val="23"/>
  </w:num>
  <w:num w:numId="27">
    <w:abstractNumId w:val="32"/>
  </w:num>
  <w:num w:numId="28">
    <w:abstractNumId w:val="15"/>
  </w:num>
  <w:num w:numId="29">
    <w:abstractNumId w:val="12"/>
  </w:num>
  <w:num w:numId="30">
    <w:abstractNumId w:val="4"/>
  </w:num>
  <w:num w:numId="31">
    <w:abstractNumId w:val="19"/>
  </w:num>
  <w:num w:numId="32">
    <w:abstractNumId w:val="10"/>
  </w:num>
  <w:num w:numId="33">
    <w:abstractNumId w:val="33"/>
  </w:num>
  <w:num w:numId="34">
    <w:abstractNumId w:val="27"/>
  </w:num>
  <w:num w:numId="35">
    <w:abstractNumId w:val="0"/>
  </w:num>
  <w:num w:numId="36">
    <w:abstractNumId w:val="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93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A0tjQwMzQ1MTUwNDRR0lEKTi0uzszPAykwrgUA5WxSwSwAAAA="/>
  </w:docVars>
  <w:rsids>
    <w:rsidRoot w:val="00795ED4"/>
    <w:rsid w:val="00011E82"/>
    <w:rsid w:val="0001221F"/>
    <w:rsid w:val="00032B74"/>
    <w:rsid w:val="0006690C"/>
    <w:rsid w:val="0008216A"/>
    <w:rsid w:val="00094EF8"/>
    <w:rsid w:val="000A681E"/>
    <w:rsid w:val="000C5C54"/>
    <w:rsid w:val="000D50B6"/>
    <w:rsid w:val="000F77EB"/>
    <w:rsid w:val="00103A7B"/>
    <w:rsid w:val="00145DCD"/>
    <w:rsid w:val="00157EC1"/>
    <w:rsid w:val="0016368D"/>
    <w:rsid w:val="00165E84"/>
    <w:rsid w:val="00185BA2"/>
    <w:rsid w:val="00192701"/>
    <w:rsid w:val="001C6AC6"/>
    <w:rsid w:val="001F05E3"/>
    <w:rsid w:val="00240683"/>
    <w:rsid w:val="00246711"/>
    <w:rsid w:val="00250E19"/>
    <w:rsid w:val="00260F9F"/>
    <w:rsid w:val="002767E2"/>
    <w:rsid w:val="002C02EF"/>
    <w:rsid w:val="002F6E5E"/>
    <w:rsid w:val="00301808"/>
    <w:rsid w:val="00311490"/>
    <w:rsid w:val="00315D75"/>
    <w:rsid w:val="00326A5F"/>
    <w:rsid w:val="00332886"/>
    <w:rsid w:val="00347488"/>
    <w:rsid w:val="00362B21"/>
    <w:rsid w:val="00391389"/>
    <w:rsid w:val="0039140B"/>
    <w:rsid w:val="00397A29"/>
    <w:rsid w:val="003A2AB5"/>
    <w:rsid w:val="003B4294"/>
    <w:rsid w:val="003C05BB"/>
    <w:rsid w:val="003C09DD"/>
    <w:rsid w:val="003C6026"/>
    <w:rsid w:val="003C7CD8"/>
    <w:rsid w:val="003E4469"/>
    <w:rsid w:val="004254EE"/>
    <w:rsid w:val="00433E28"/>
    <w:rsid w:val="0045740B"/>
    <w:rsid w:val="004664C3"/>
    <w:rsid w:val="00471D5A"/>
    <w:rsid w:val="004959A5"/>
    <w:rsid w:val="004A12C9"/>
    <w:rsid w:val="004B0F3C"/>
    <w:rsid w:val="004B3B4B"/>
    <w:rsid w:val="004C0A06"/>
    <w:rsid w:val="00506298"/>
    <w:rsid w:val="00510B24"/>
    <w:rsid w:val="00517511"/>
    <w:rsid w:val="00524033"/>
    <w:rsid w:val="00547544"/>
    <w:rsid w:val="005663AF"/>
    <w:rsid w:val="00586059"/>
    <w:rsid w:val="005C15FF"/>
    <w:rsid w:val="005D42D3"/>
    <w:rsid w:val="0061196C"/>
    <w:rsid w:val="00622067"/>
    <w:rsid w:val="00645BD8"/>
    <w:rsid w:val="00652CF5"/>
    <w:rsid w:val="006648D1"/>
    <w:rsid w:val="00695F7C"/>
    <w:rsid w:val="006A0E13"/>
    <w:rsid w:val="006A3259"/>
    <w:rsid w:val="006C35A7"/>
    <w:rsid w:val="006D4F4B"/>
    <w:rsid w:val="006F2778"/>
    <w:rsid w:val="00705B14"/>
    <w:rsid w:val="00705D35"/>
    <w:rsid w:val="00706692"/>
    <w:rsid w:val="00715E21"/>
    <w:rsid w:val="007223E7"/>
    <w:rsid w:val="007300B0"/>
    <w:rsid w:val="00744C68"/>
    <w:rsid w:val="0074729B"/>
    <w:rsid w:val="00762D3C"/>
    <w:rsid w:val="007758E9"/>
    <w:rsid w:val="00795D6B"/>
    <w:rsid w:val="00795ED4"/>
    <w:rsid w:val="007A4F68"/>
    <w:rsid w:val="007B03AC"/>
    <w:rsid w:val="008369C5"/>
    <w:rsid w:val="00845C77"/>
    <w:rsid w:val="0085597F"/>
    <w:rsid w:val="0086468A"/>
    <w:rsid w:val="00874297"/>
    <w:rsid w:val="00893972"/>
    <w:rsid w:val="008A0C9B"/>
    <w:rsid w:val="008A112C"/>
    <w:rsid w:val="008B3E49"/>
    <w:rsid w:val="008B6475"/>
    <w:rsid w:val="008D4A8E"/>
    <w:rsid w:val="008D5925"/>
    <w:rsid w:val="008E489C"/>
    <w:rsid w:val="008E5326"/>
    <w:rsid w:val="008F3520"/>
    <w:rsid w:val="008F376D"/>
    <w:rsid w:val="00905376"/>
    <w:rsid w:val="00917921"/>
    <w:rsid w:val="00920262"/>
    <w:rsid w:val="00931A87"/>
    <w:rsid w:val="0093545D"/>
    <w:rsid w:val="00935F50"/>
    <w:rsid w:val="00941C55"/>
    <w:rsid w:val="0095213F"/>
    <w:rsid w:val="0096005F"/>
    <w:rsid w:val="009744D7"/>
    <w:rsid w:val="0097781F"/>
    <w:rsid w:val="00987F3A"/>
    <w:rsid w:val="009C0BB1"/>
    <w:rsid w:val="009C7ADB"/>
    <w:rsid w:val="009D4EE4"/>
    <w:rsid w:val="009D6531"/>
    <w:rsid w:val="009E1EEA"/>
    <w:rsid w:val="009E55B2"/>
    <w:rsid w:val="009F4D1F"/>
    <w:rsid w:val="00A05904"/>
    <w:rsid w:val="00A06CF8"/>
    <w:rsid w:val="00A157E0"/>
    <w:rsid w:val="00A15B13"/>
    <w:rsid w:val="00A20D10"/>
    <w:rsid w:val="00A63872"/>
    <w:rsid w:val="00A67326"/>
    <w:rsid w:val="00A77698"/>
    <w:rsid w:val="00A8085E"/>
    <w:rsid w:val="00A81F37"/>
    <w:rsid w:val="00A929DD"/>
    <w:rsid w:val="00AA24BF"/>
    <w:rsid w:val="00AB175C"/>
    <w:rsid w:val="00AB5624"/>
    <w:rsid w:val="00AC05B4"/>
    <w:rsid w:val="00AE7519"/>
    <w:rsid w:val="00B046BA"/>
    <w:rsid w:val="00B10450"/>
    <w:rsid w:val="00B703E5"/>
    <w:rsid w:val="00BC2035"/>
    <w:rsid w:val="00BD0012"/>
    <w:rsid w:val="00BD6851"/>
    <w:rsid w:val="00BE327D"/>
    <w:rsid w:val="00BF3208"/>
    <w:rsid w:val="00C02218"/>
    <w:rsid w:val="00C054F1"/>
    <w:rsid w:val="00C11ABE"/>
    <w:rsid w:val="00C13112"/>
    <w:rsid w:val="00C145CC"/>
    <w:rsid w:val="00C42422"/>
    <w:rsid w:val="00C44C47"/>
    <w:rsid w:val="00C61AFE"/>
    <w:rsid w:val="00C62C10"/>
    <w:rsid w:val="00C76A19"/>
    <w:rsid w:val="00C9234E"/>
    <w:rsid w:val="00CA47A3"/>
    <w:rsid w:val="00CA7C06"/>
    <w:rsid w:val="00CB3439"/>
    <w:rsid w:val="00CC2FF1"/>
    <w:rsid w:val="00CC57BD"/>
    <w:rsid w:val="00CD5874"/>
    <w:rsid w:val="00D05814"/>
    <w:rsid w:val="00D1784B"/>
    <w:rsid w:val="00D248F9"/>
    <w:rsid w:val="00D46601"/>
    <w:rsid w:val="00D504CE"/>
    <w:rsid w:val="00D63D2B"/>
    <w:rsid w:val="00D841C5"/>
    <w:rsid w:val="00DA3342"/>
    <w:rsid w:val="00DC1033"/>
    <w:rsid w:val="00DC257A"/>
    <w:rsid w:val="00DD3BD3"/>
    <w:rsid w:val="00DE483E"/>
    <w:rsid w:val="00DF144D"/>
    <w:rsid w:val="00DF3F16"/>
    <w:rsid w:val="00DF4F79"/>
    <w:rsid w:val="00E04BA1"/>
    <w:rsid w:val="00E65B39"/>
    <w:rsid w:val="00E66955"/>
    <w:rsid w:val="00E677C0"/>
    <w:rsid w:val="00E97A0A"/>
    <w:rsid w:val="00EB4CF5"/>
    <w:rsid w:val="00EB5D71"/>
    <w:rsid w:val="00EC2A75"/>
    <w:rsid w:val="00EC7B99"/>
    <w:rsid w:val="00EC7BD8"/>
    <w:rsid w:val="00ED02D5"/>
    <w:rsid w:val="00ED2CB3"/>
    <w:rsid w:val="00ED5085"/>
    <w:rsid w:val="00EE24DA"/>
    <w:rsid w:val="00EE29E2"/>
    <w:rsid w:val="00EF576E"/>
    <w:rsid w:val="00F022CC"/>
    <w:rsid w:val="00F12B6A"/>
    <w:rsid w:val="00F163AF"/>
    <w:rsid w:val="00F258F9"/>
    <w:rsid w:val="00F33C28"/>
    <w:rsid w:val="00F41B62"/>
    <w:rsid w:val="00F42456"/>
    <w:rsid w:val="00F42C12"/>
    <w:rsid w:val="00F85E7E"/>
    <w:rsid w:val="00F869F0"/>
    <w:rsid w:val="00FC31C1"/>
    <w:rsid w:val="00FD08BB"/>
    <w:rsid w:val="00FD4BFD"/>
    <w:rsid w:val="00FD5CEF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519BE"/>
  <w15:docId w15:val="{0C92C2A3-1234-443F-B5DD-F2405111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624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40B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color w:val="17365D" w:themeColor="tex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40B"/>
    <w:pPr>
      <w:keepNext/>
      <w:keepLines/>
      <w:spacing w:before="200" w:after="0" w:line="240" w:lineRule="auto"/>
      <w:outlineLvl w:val="1"/>
    </w:pPr>
    <w:rPr>
      <w:rFonts w:asciiTheme="minorHAnsi" w:eastAsia="Times New Roman" w:hAnsiTheme="minorHAnsi"/>
      <w:b/>
      <w:bCs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40B"/>
    <w:pPr>
      <w:keepNext/>
      <w:keepLines/>
      <w:spacing w:before="200" w:after="0" w:line="240" w:lineRule="auto"/>
      <w:outlineLvl w:val="2"/>
    </w:pPr>
    <w:rPr>
      <w:rFonts w:asciiTheme="minorHAnsi" w:eastAsia="Times New Roman" w:hAnsiTheme="minorHAns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40B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EF"/>
  </w:style>
  <w:style w:type="paragraph" w:styleId="Footer">
    <w:name w:val="footer"/>
    <w:basedOn w:val="Normal"/>
    <w:link w:val="FooterChar"/>
    <w:uiPriority w:val="99"/>
    <w:unhideWhenUsed/>
    <w:rsid w:val="00FD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EF"/>
  </w:style>
  <w:style w:type="paragraph" w:styleId="BalloonText">
    <w:name w:val="Balloon Text"/>
    <w:basedOn w:val="Normal"/>
    <w:link w:val="BalloonTextChar"/>
    <w:uiPriority w:val="99"/>
    <w:semiHidden/>
    <w:unhideWhenUsed/>
    <w:rsid w:val="00F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5CE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5740B"/>
    <w:rPr>
      <w:rFonts w:asciiTheme="minorHAnsi" w:eastAsia="Times New Roman" w:hAnsiTheme="minorHAnsi"/>
      <w:b/>
      <w:bCs/>
      <w:color w:val="365F91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40B"/>
    <w:rPr>
      <w:rFonts w:asciiTheme="minorHAnsi" w:eastAsia="Times New Roman" w:hAnsiTheme="minorHAnsi"/>
      <w:b/>
      <w:bCs/>
      <w:color w:val="4F81BD"/>
      <w:sz w:val="24"/>
      <w:szCs w:val="22"/>
    </w:rPr>
  </w:style>
  <w:style w:type="character" w:styleId="Hyperlink">
    <w:name w:val="Hyperlink"/>
    <w:uiPriority w:val="99"/>
    <w:unhideWhenUsed/>
    <w:rsid w:val="0091792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179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7921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917921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7921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917921"/>
    <w:pPr>
      <w:spacing w:after="0" w:line="240" w:lineRule="auto"/>
      <w:ind w:left="720"/>
    </w:pPr>
  </w:style>
  <w:style w:type="character" w:customStyle="1" w:styleId="apple-converted-space">
    <w:name w:val="apple-converted-space"/>
    <w:rsid w:val="00917921"/>
  </w:style>
  <w:style w:type="character" w:styleId="Strong">
    <w:name w:val="Strong"/>
    <w:uiPriority w:val="22"/>
    <w:qFormat/>
    <w:rsid w:val="00917921"/>
    <w:rPr>
      <w:b/>
      <w:bCs/>
    </w:rPr>
  </w:style>
  <w:style w:type="character" w:styleId="Emphasis">
    <w:name w:val="Emphasis"/>
    <w:uiPriority w:val="20"/>
    <w:qFormat/>
    <w:rsid w:val="009179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D0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740B"/>
    <w:rPr>
      <w:rFonts w:eastAsiaTheme="majorEastAsia" w:cstheme="majorBidi"/>
      <w:b/>
      <w:bCs/>
      <w:caps/>
      <w:color w:val="17365D" w:themeColor="text2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4F4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D4F4B"/>
    <w:pPr>
      <w:spacing w:after="100"/>
      <w:ind w:left="220"/>
    </w:pPr>
    <w:rPr>
      <w:rFonts w:asciiTheme="minorHAnsi" w:eastAsiaTheme="minorEastAsia" w:hAnsiTheme="minorHAnsi" w:cstheme="minorBid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D4F4B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D4F4B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IntenseEmphasis">
    <w:name w:val="Intense Emphasis"/>
    <w:basedOn w:val="DefaultParagraphFont"/>
    <w:uiPriority w:val="21"/>
    <w:qFormat/>
    <w:rsid w:val="00C42422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42422"/>
    <w:rPr>
      <w:color w:val="800080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2C02E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4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04040" w:themeColor="text1" w:themeTint="BF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5740B"/>
    <w:rPr>
      <w:rFonts w:asciiTheme="minorHAnsi" w:eastAsiaTheme="minorEastAsia" w:hAnsiTheme="minorHAnsi" w:cstheme="minorBidi"/>
      <w:color w:val="404040" w:themeColor="text1" w:themeTint="BF"/>
      <w:spacing w:val="1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40B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</w:rPr>
  </w:style>
  <w:style w:type="table" w:styleId="TableGrid">
    <w:name w:val="Table Grid"/>
    <w:basedOn w:val="TableNormal"/>
    <w:uiPriority w:val="59"/>
    <w:rsid w:val="00611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7B9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385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  <w:divsChild>
            <w:div w:id="1630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EAF8-E1E9-4697-8CCF-E39013D8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State Department of Education Letterhead</vt:lpstr>
    </vt:vector>
  </TitlesOfParts>
  <Company>Idaho State Department of Education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State Department of Education Letterhead</dc:title>
  <dc:subject>Letterhead Template</dc:subject>
  <dc:creator>State Department of Education</dc:creator>
  <cp:keywords/>
  <cp:lastModifiedBy>Brad Starks</cp:lastModifiedBy>
  <cp:revision>42</cp:revision>
  <cp:lastPrinted>2017-08-09T23:14:00Z</cp:lastPrinted>
  <dcterms:created xsi:type="dcterms:W3CDTF">2021-02-18T18:59:00Z</dcterms:created>
  <dcterms:modified xsi:type="dcterms:W3CDTF">2021-04-19T14:34:00Z</dcterms:modified>
</cp:coreProperties>
</file>