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3823AC" w:rsidP="00904A84">
      <w:pPr>
        <w:pStyle w:val="Title"/>
      </w:pPr>
      <w:bookmarkStart w:id="0" w:name="_Toc488850727"/>
      <w:r w:rsidRPr="003823AC">
        <w:t>Pharmacy Technician</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E87961" w:rsidP="00FE7526">
      <w:pPr>
        <w:keepNext/>
        <w:keepLines/>
        <w:spacing w:before="600" w:after="240"/>
        <w:outlineLvl w:val="0"/>
        <w:rPr>
          <w:rFonts w:cstheme="minorHAnsi"/>
        </w:rPr>
      </w:pPr>
      <w:r w:rsidRPr="00E87961">
        <w:rPr>
          <w:rFonts w:eastAsia="Calibri" w:cs="Calibri"/>
          <w:color w:val="auto"/>
          <w:szCs w:val="24"/>
          <w:lang w:eastAsia="en-US"/>
        </w:rPr>
        <w:t>Idaho CTE Pharmacy Technician Program Standards</w:t>
      </w:r>
      <w:r w:rsidRPr="00E87961">
        <w:rPr>
          <w:rFonts w:eastAsia="Calibri" w:cs="Calibri"/>
          <w:color w:val="auto"/>
          <w:szCs w:val="24"/>
          <w:vertAlign w:val="superscript"/>
          <w:lang w:eastAsia="en-US"/>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4A5ECE" w:rsidP="00D57C33">
      <w:pPr>
        <w:pStyle w:val="Heading2"/>
        <w:rPr>
          <w:rStyle w:val="IntenseEmphasis"/>
          <w:color w:val="417FD0" w:themeColor="text2" w:themeTint="99"/>
          <w:sz w:val="28"/>
          <w:szCs w:val="28"/>
        </w:rPr>
      </w:pPr>
      <w:r w:rsidRPr="004A5ECE">
        <w:rPr>
          <w:rStyle w:val="IntenseEmphasis"/>
          <w:color w:val="417FD0" w:themeColor="text2" w:themeTint="99"/>
          <w:sz w:val="28"/>
          <w:szCs w:val="28"/>
        </w:rPr>
        <w:t>Standard 1.0: Pharmacy Technician</w:t>
      </w:r>
    </w:p>
    <w:p w:rsidR="00FE7526" w:rsidRDefault="004A5ECE" w:rsidP="00895824">
      <w:pPr>
        <w:pStyle w:val="Heading3"/>
      </w:pPr>
      <w:r w:rsidRPr="004A5ECE">
        <w:t>Performance Standard PT.1.1 Roles and Service</w:t>
      </w:r>
    </w:p>
    <w:tbl>
      <w:tblPr>
        <w:tblStyle w:val="ProposalTable"/>
        <w:tblW w:w="5000" w:type="pct"/>
        <w:tblLook w:val="04A0" w:firstRow="1" w:lastRow="0" w:firstColumn="1" w:lastColumn="0" w:noHBand="0" w:noVBand="1"/>
      </w:tblPr>
      <w:tblGrid>
        <w:gridCol w:w="3415"/>
        <w:gridCol w:w="5935"/>
      </w:tblGrid>
      <w:tr w:rsidR="00E5777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E1571" w:rsidRDefault="00E57778" w:rsidP="00AC74B9">
            <w:r w:rsidRPr="00FD07EA">
              <w:t>CTE PT.1.1.1 Explain the role of the pharmacist.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D07EA" w:rsidRDefault="00E57778" w:rsidP="00AC74B9">
            <w:r w:rsidRPr="00FD07EA">
              <w:t>CTE PT.1.1.2 Explain the traditional and the advanced role of the pharmacy technician.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D07EA" w:rsidRDefault="00E57778" w:rsidP="00AC74B9">
            <w:r w:rsidRPr="00FD07EA">
              <w:t>CTE PT.1.1.3 Identify the role of the prescriber.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D07EA" w:rsidRDefault="00E57778" w:rsidP="00AC74B9">
            <w:r w:rsidRPr="00FD07EA">
              <w:t>CTE PT.1.1.4 Explain the prescription cycle.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D07EA" w:rsidRDefault="00E57778" w:rsidP="00AC74B9">
            <w:r w:rsidRPr="00FD07EA">
              <w:t>CTE PT.1.1.5 Compare types of pharmacies and other pharmacy services.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D07EA" w:rsidRDefault="00E57778" w:rsidP="00AC74B9">
            <w:r w:rsidRPr="00FD07EA">
              <w:t>CTE PT.1.1.6 Describe the organization/layout of various pharmacy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bl>
    <w:p w:rsidR="00E57778" w:rsidRDefault="00E57778" w:rsidP="00E57778"/>
    <w:p w:rsidR="00E57778" w:rsidRPr="00E57778" w:rsidRDefault="00E57778" w:rsidP="00E57778"/>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D061D8" w:rsidP="00E57778">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Pr="00D061D8">
        <w:rPr>
          <w:rStyle w:val="IntenseEmphasis"/>
          <w:color w:val="417FD0" w:themeColor="text2" w:themeTint="99"/>
          <w:sz w:val="28"/>
          <w:szCs w:val="28"/>
        </w:rPr>
        <w:t>tandard 2.0: Legal and Ethical Responsibilities</w:t>
      </w:r>
    </w:p>
    <w:p w:rsidR="00FE7526" w:rsidRDefault="00D061D8" w:rsidP="000162C8">
      <w:pPr>
        <w:pStyle w:val="Heading3"/>
        <w:rPr>
          <w:rFonts w:eastAsia="Times New Roman"/>
          <w:color w:val="auto"/>
        </w:rPr>
      </w:pPr>
      <w:r w:rsidRPr="00D061D8">
        <w:rPr>
          <w:rFonts w:eastAsia="Times New Roman"/>
          <w:color w:val="auto"/>
        </w:rPr>
        <w:t>Performance Standard PT.2.1 Duties According to Regulations, Policies, and Laws</w:t>
      </w:r>
    </w:p>
    <w:tbl>
      <w:tblPr>
        <w:tblStyle w:val="ProposalTable"/>
        <w:tblW w:w="5000" w:type="pct"/>
        <w:tblLook w:val="04A0" w:firstRow="1" w:lastRow="0" w:firstColumn="1" w:lastColumn="0" w:noHBand="0" w:noVBand="1"/>
      </w:tblPr>
      <w:tblGrid>
        <w:gridCol w:w="3415"/>
        <w:gridCol w:w="5935"/>
      </w:tblGrid>
      <w:tr w:rsidR="00E5777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E1571" w:rsidRDefault="00E57778" w:rsidP="00AC74B9">
            <w:r w:rsidRPr="007B6759">
              <w:t>CTE PT.2.1.1 Understand Idaho State Board of Pharmacy Code and Administrative Rules.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7B6759" w:rsidRDefault="00E57778" w:rsidP="00AC74B9">
            <w:r w:rsidRPr="007B6759">
              <w:t>CTE PT.2.1.2 Understand pharmacy record keeping.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66338F" w:rsidRDefault="00E57778" w:rsidP="00E57778">
            <w:r w:rsidRPr="0066338F">
              <w:t>CTE PT.2.1.3 Summarize timelines regarding federal laws.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66338F" w:rsidRDefault="00E57778" w:rsidP="00E57778">
            <w:r w:rsidRPr="00D12D1C">
              <w:t>CTE PT.2.1.4 Compare licensure, certification, registration, and legislated scope of practice of pharmacy professionals.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D12D1C" w:rsidRDefault="00E57778" w:rsidP="00E57778">
            <w:r w:rsidRPr="00D12D1C">
              <w:t>CTE PT.2.1.5 Understand United States Pharmacopeia (USP) Guidelines 795, 797, 800.</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D12D1C" w:rsidRDefault="00E57778" w:rsidP="00E57778">
            <w:r w:rsidRPr="009E1AAC">
              <w:t>CTE PT.2.1.6 Understand Health Information Portability Accountability Act (HIPAA).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9E1AAC" w:rsidRDefault="00E57778" w:rsidP="00E57778">
            <w:r w:rsidRPr="00C61F41">
              <w:t>CTE PT.2.1.7 Recognize Drug Enforcement Administration (DEA) Code of Federal Regulations (number validation).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bookmarkStart w:id="1" w:name="_GoBack"/>
            <w:bookmarkEnd w:id="1"/>
          </w:p>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207E02" w:rsidRDefault="00E57778" w:rsidP="00E57778">
            <w:r w:rsidRPr="00207E02">
              <w:t>CTE PT.2.1.8 Understand the role of the Food and Drug Administration (FDA).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207E02" w:rsidRDefault="00E57778" w:rsidP="00E57778">
            <w:r w:rsidRPr="00F51BFF">
              <w:lastRenderedPageBreak/>
              <w:t>CTE PT.2.1.9 Understand the related guidelines of the Occupational Safety and Health Administration (OSHA) and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51BFF" w:rsidRDefault="00E57778" w:rsidP="00E57778">
            <w:r w:rsidRPr="00F51BFF">
              <w:t>CTE PT.2.1.10 Distinguish between accrediting bodies.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F51BFF" w:rsidRDefault="00E57778" w:rsidP="00E57778">
            <w:r w:rsidRPr="00F51BFF">
              <w:t>CTE PT.2.1.11 Demonstrate knowledge of continuing education and training for re-licensure.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bl>
    <w:p w:rsidR="000162C8" w:rsidRDefault="0000543E" w:rsidP="000162C8">
      <w:pPr>
        <w:pStyle w:val="Heading3"/>
        <w:rPr>
          <w:rFonts w:eastAsia="Times New Roman"/>
          <w:color w:val="auto"/>
        </w:rPr>
      </w:pPr>
      <w:r w:rsidRPr="0000543E">
        <w:rPr>
          <w:rFonts w:eastAsia="Times New Roman"/>
          <w:color w:val="auto"/>
        </w:rPr>
        <w:t>Performance Standard PT.2.2 Professional Standards and Interpersonal Skills</w:t>
      </w:r>
    </w:p>
    <w:tbl>
      <w:tblPr>
        <w:tblStyle w:val="ProposalTable"/>
        <w:tblW w:w="5000" w:type="pct"/>
        <w:tblLook w:val="04A0" w:firstRow="1" w:lastRow="0" w:firstColumn="1" w:lastColumn="0" w:noHBand="0" w:noVBand="1"/>
      </w:tblPr>
      <w:tblGrid>
        <w:gridCol w:w="3428"/>
        <w:gridCol w:w="5922"/>
      </w:tblGrid>
      <w:tr w:rsidR="00E57778" w:rsidTr="00E57778">
        <w:trPr>
          <w:cnfStyle w:val="100000000000" w:firstRow="1" w:lastRow="0" w:firstColumn="0" w:lastColumn="0" w:oddVBand="0" w:evenVBand="0" w:oddHBand="0" w:evenHBand="0" w:firstRowFirstColumn="0" w:firstRowLastColumn="0" w:lastRowFirstColumn="0" w:lastRowLastColumn="0"/>
          <w:cantSplit/>
          <w:tblHeader/>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Pr>
                <w:rFonts w:eastAsia="Times New Roman"/>
              </w:rPr>
              <w:t>Student Competencies by Performance Standard</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E1571" w:rsidRDefault="00E57778" w:rsidP="00AC74B9">
            <w:r w:rsidRPr="0061586D">
              <w:t>CTE PT.2.2.1 Understand the importance of pharmacy culture.</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61586D" w:rsidRDefault="00E57778" w:rsidP="00AC74B9">
            <w:r w:rsidRPr="005B137D">
              <w:t>CTE PT.2.2.2 Recognize various communication types (verbal, non-verbal, written, and electronic).</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5B137D" w:rsidRDefault="00E57778" w:rsidP="00AC74B9">
            <w:r w:rsidRPr="005B137D">
              <w:t>CTE PT.2.2.3 Practice conflict resolution.</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5B137D" w:rsidRDefault="00E57778" w:rsidP="00AC74B9">
            <w:r w:rsidRPr="00571215">
              <w:t>CTE PT.2.2.4 Identify personal traits (desirable and undesirable) and attitudes of pharmacy team members.</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571215" w:rsidRDefault="00E57778" w:rsidP="00AC74B9">
            <w:r w:rsidRPr="00912993">
              <w:lastRenderedPageBreak/>
              <w:t xml:space="preserve">CTE PT.2.2.5 Demonstrate professional standards of pharmacy workers as they apply to hygiene, dress, language, confidentiality, ethical and civil behavior, substance and alcohol use and abuse.  </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E57778" w:rsidRDefault="00E57778" w:rsidP="00AC74B9">
            <w:pPr>
              <w:rPr>
                <w:rStyle w:val="Hyperlink"/>
              </w:rPr>
            </w:pPr>
            <w:r w:rsidRPr="00912993">
              <w:t>CTE PT.2.2.</w:t>
            </w:r>
            <w:r>
              <w:t xml:space="preserve">6 Apply employability skills and requirements in the pharmacy setting. (Refer to CTE Readiness Standards, </w:t>
            </w:r>
            <w:r>
              <w:fldChar w:fldCharType="begin"/>
            </w:r>
            <w:r>
              <w:instrText xml:space="preserve"> HYPERLINK "http://cte.idaho.gov/educators/program-standards/" </w:instrText>
            </w:r>
            <w:r>
              <w:fldChar w:fldCharType="separate"/>
            </w:r>
            <w:r w:rsidRPr="00E57778">
              <w:rPr>
                <w:rStyle w:val="Hyperlink"/>
              </w:rPr>
              <w:t>http://cte.idaho.gov/educators/</w:t>
            </w:r>
          </w:p>
          <w:p w:rsidR="00E57778" w:rsidRPr="00912993" w:rsidRDefault="00E57778" w:rsidP="00AC74B9">
            <w:r w:rsidRPr="00E57778">
              <w:rPr>
                <w:rStyle w:val="Hyperlink"/>
              </w:rPr>
              <w:t>program-standards/).</w:t>
            </w:r>
            <w:r>
              <w:fldChar w:fldCharType="end"/>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912993" w:rsidRDefault="00E57778" w:rsidP="00AC74B9">
            <w:r w:rsidRPr="00D61131">
              <w:t>CTE PT.2.2.7 Understand various cultural differences and beliefs.</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D61131" w:rsidRDefault="00E57778" w:rsidP="00AC74B9">
            <w:r w:rsidRPr="005B10BA">
              <w:t>CTE PT.2.2.8 Practice confidentiality when communicating.</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5B10BA" w:rsidRDefault="00E57778" w:rsidP="00E57778">
            <w:r w:rsidRPr="005B10BA">
              <w:t>CTE PT.2.2.9 Understand the implications of social media.</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r w:rsidR="00E57778" w:rsidTr="00E57778">
        <w:trPr>
          <w:cantSplit/>
          <w:trHeight w:val="683"/>
        </w:trPr>
        <w:tc>
          <w:tcPr>
            <w:tcW w:w="1833"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5B10BA" w:rsidRDefault="00E57778" w:rsidP="00E57778">
            <w:r w:rsidRPr="0074224E">
              <w:t>CTE PT.2.2.10 Practice and demonstrate Health Information Portability Accountability Act (HIPAA).</w:t>
            </w:r>
          </w:p>
        </w:tc>
        <w:tc>
          <w:tcPr>
            <w:tcW w:w="316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E57778"/>
        </w:tc>
      </w:tr>
    </w:tbl>
    <w:p w:rsidR="000162C8" w:rsidRDefault="00EE1BEE" w:rsidP="000162C8">
      <w:pPr>
        <w:pStyle w:val="Heading3"/>
        <w:rPr>
          <w:rFonts w:eastAsia="Times New Roman"/>
          <w:color w:val="auto"/>
        </w:rPr>
      </w:pPr>
      <w:r w:rsidRPr="00EE1BEE">
        <w:rPr>
          <w:rFonts w:eastAsia="Times New Roman"/>
          <w:color w:val="auto"/>
        </w:rPr>
        <w:lastRenderedPageBreak/>
        <w:t>Performance Standard PT.2.3 Apply Critical Thinking Skills</w:t>
      </w:r>
    </w:p>
    <w:tbl>
      <w:tblPr>
        <w:tblStyle w:val="ProposalTable"/>
        <w:tblW w:w="5000" w:type="pct"/>
        <w:tblLook w:val="04A0" w:firstRow="1" w:lastRow="0" w:firstColumn="1" w:lastColumn="0" w:noHBand="0" w:noVBand="1"/>
      </w:tblPr>
      <w:tblGrid>
        <w:gridCol w:w="3415"/>
        <w:gridCol w:w="5935"/>
      </w:tblGrid>
      <w:tr w:rsidR="00E5777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E1571" w:rsidRDefault="00E57778" w:rsidP="00AC74B9">
            <w:r w:rsidRPr="003E34CA">
              <w:t>CTE PT.2.3.1 Evaluate case studies related to pharmacy.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3E34CA" w:rsidRDefault="00E57778" w:rsidP="00AC74B9">
            <w:r w:rsidRPr="003E34CA">
              <w:t xml:space="preserve">CTE PT.2.3.2 Set up various role play scenarios that a pharmacy </w:t>
            </w:r>
            <w:proofErr w:type="gramStart"/>
            <w:r w:rsidRPr="003E34CA">
              <w:t>encounters</w:t>
            </w:r>
            <w:proofErr w:type="gramEnd"/>
            <w:r w:rsidRPr="003E34CA">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3E34CA" w:rsidRDefault="00E57778" w:rsidP="00AC74B9">
            <w:r w:rsidRPr="003E34CA">
              <w:t>CTE PT.2.3.3 Practice basic concepts of logic and problem solving.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4971D4" w:rsidP="00E57778">
      <w:pPr>
        <w:pStyle w:val="Heading2"/>
        <w:rPr>
          <w:rStyle w:val="IntenseEmphasis"/>
          <w:b w:val="0"/>
          <w:color w:val="417FD0" w:themeColor="text2" w:themeTint="99"/>
          <w:sz w:val="28"/>
          <w:szCs w:val="28"/>
        </w:rPr>
      </w:pPr>
      <w:r w:rsidRPr="004971D4">
        <w:rPr>
          <w:rStyle w:val="IntenseEmphasis"/>
          <w:color w:val="417FD0" w:themeColor="text2" w:themeTint="99"/>
          <w:sz w:val="28"/>
          <w:szCs w:val="28"/>
        </w:rPr>
        <w:lastRenderedPageBreak/>
        <w:t>Standard 3.0: Processing and Handling of Medication and Medication Orders/Prescriptions</w:t>
      </w:r>
    </w:p>
    <w:p w:rsidR="00FE7526" w:rsidRDefault="00D7589A" w:rsidP="00895824">
      <w:pPr>
        <w:pStyle w:val="Heading3"/>
        <w:rPr>
          <w:rFonts w:eastAsia="Times New Roman"/>
          <w:color w:val="auto"/>
        </w:rPr>
      </w:pPr>
      <w:r w:rsidRPr="00D7589A">
        <w:rPr>
          <w:rFonts w:eastAsia="Times New Roman"/>
          <w:color w:val="auto"/>
        </w:rPr>
        <w:t>Performance Standard PT. 3.1 Analyzing Prescriptions</w:t>
      </w:r>
    </w:p>
    <w:tbl>
      <w:tblPr>
        <w:tblStyle w:val="ProposalTable"/>
        <w:tblW w:w="5000" w:type="pct"/>
        <w:tblLook w:val="04A0" w:firstRow="1" w:lastRow="0" w:firstColumn="1" w:lastColumn="0" w:noHBand="0" w:noVBand="1"/>
      </w:tblPr>
      <w:tblGrid>
        <w:gridCol w:w="3415"/>
        <w:gridCol w:w="5935"/>
      </w:tblGrid>
      <w:tr w:rsidR="00E5777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E1571" w:rsidRDefault="00E57778" w:rsidP="00AC74B9">
            <w:r w:rsidRPr="00A551AB">
              <w:t xml:space="preserve">CTE </w:t>
            </w:r>
            <w:r>
              <w:t>PT.3.1.1</w:t>
            </w:r>
            <w:r w:rsidRPr="00D7589A">
              <w:t xml:space="preserve"> Differentiate between a prescription and medication order.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A551AB" w:rsidRDefault="00E57778" w:rsidP="00AC74B9">
            <w:r>
              <w:t xml:space="preserve">CTE PT.3.1.2 </w:t>
            </w:r>
            <w:r w:rsidRPr="00136F5A">
              <w:t>Interpret the prescription/medication order.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bl>
    <w:p w:rsidR="00DD56D6" w:rsidRDefault="00D7589A" w:rsidP="00DD56D6">
      <w:pPr>
        <w:pStyle w:val="Heading3"/>
        <w:rPr>
          <w:rFonts w:eastAsia="Times New Roman"/>
          <w:color w:val="auto"/>
        </w:rPr>
      </w:pPr>
      <w:r w:rsidRPr="00D7589A">
        <w:rPr>
          <w:rFonts w:eastAsia="Times New Roman"/>
          <w:color w:val="auto"/>
        </w:rPr>
        <w:t>Performance Standard PT. 3.2 Assisting the Pharmacist</w:t>
      </w:r>
    </w:p>
    <w:tbl>
      <w:tblPr>
        <w:tblStyle w:val="ProposalTable"/>
        <w:tblW w:w="5000" w:type="pct"/>
        <w:tblLook w:val="04A0" w:firstRow="1" w:lastRow="0" w:firstColumn="1" w:lastColumn="0" w:noHBand="0" w:noVBand="1"/>
      </w:tblPr>
      <w:tblGrid>
        <w:gridCol w:w="3415"/>
        <w:gridCol w:w="5935"/>
      </w:tblGrid>
      <w:tr w:rsidR="00E5777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57778" w:rsidRDefault="00E5777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E1571" w:rsidRDefault="00E57778" w:rsidP="00AC74B9">
            <w:r w:rsidRPr="00C16291">
              <w:t>CTE PT.3.2.1 Utilize technology to input pharmacy 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C16291" w:rsidRDefault="00E57778" w:rsidP="00AC74B9">
            <w:r w:rsidRPr="00C16291">
              <w:t>CTE PT.3.2.2 Practice various forms of communication etiquette, including prioritization.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C16291" w:rsidRDefault="00E57778" w:rsidP="00AC74B9">
            <w:r w:rsidRPr="004C569F">
              <w:t>CTE PT.3.2.3 Collect relevant patient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C569F" w:rsidRDefault="00E57778" w:rsidP="00AC74B9">
            <w:r w:rsidRPr="004C569F">
              <w:t>CTE PT.3.2.4 Critique the prescription refill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4C569F" w:rsidRDefault="00E57778" w:rsidP="00AC74B9">
            <w:r w:rsidRPr="000877F8">
              <w:t>CTE PT.3.2.</w:t>
            </w:r>
            <w:r>
              <w:t>5</w:t>
            </w:r>
            <w:r w:rsidRPr="000877F8">
              <w:t xml:space="preserve"> </w:t>
            </w:r>
            <w:r>
              <w:t>Assist with identifying the patient’s need for counseling.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E5777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Pr="000877F8" w:rsidRDefault="00E57778" w:rsidP="00AC74B9">
            <w:r w:rsidRPr="00AF52A6">
              <w:t>CTE PT.3.2.6 Demonstrate reconstitution of antibiotic prescriptions.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57778" w:rsidRDefault="00E57778"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AF52A6" w:rsidRDefault="006D12E6" w:rsidP="00AC74B9">
            <w:r w:rsidRPr="003E4911">
              <w:lastRenderedPageBreak/>
              <w:t>CTE PT.3.2.7 Understand medication monitoring programs.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3E4911" w:rsidRDefault="006D12E6" w:rsidP="00AC74B9">
            <w:r w:rsidRPr="003E4911">
              <w:t>CTE PT.3.2.8 Discuss a pharmacy audit.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0162C8" w:rsidRDefault="00BB584E" w:rsidP="000162C8">
      <w:pPr>
        <w:pStyle w:val="Heading3"/>
        <w:rPr>
          <w:rFonts w:eastAsia="Times New Roman"/>
          <w:color w:val="auto"/>
        </w:rPr>
      </w:pPr>
      <w:r w:rsidRPr="00BB584E">
        <w:rPr>
          <w:rFonts w:eastAsia="Times New Roman"/>
          <w:color w:val="auto"/>
        </w:rPr>
        <w:t>Performance Standard PT. 3.3 Assist Pharmacist in Special Handling and Documentation</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DB0636">
              <w:t>CTE PT.3.3.1 Explain immunization and wellness programs.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DB0636" w:rsidRDefault="006D12E6" w:rsidP="00AC74B9">
            <w:r w:rsidRPr="00DB0636">
              <w:t>CTE PT.3.3.2 Understand chemotherapy compounding (USP 800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DB0636" w:rsidRDefault="006D12E6" w:rsidP="00AC74B9">
            <w:r w:rsidRPr="00DB0636">
              <w:t>CTE PT.3.3.3 Understand Total Parenteral Nutrition (TPN).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DB0636" w:rsidRDefault="006D12E6" w:rsidP="00AC74B9">
            <w:r w:rsidRPr="00B6521B">
              <w:t>CTE PT.3.3.4 Identify controlled substances and their processes.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B6521B" w:rsidRDefault="006D12E6" w:rsidP="00AC74B9">
            <w:r w:rsidRPr="00B6521B">
              <w:t>CTE PT.3.3.5 Document investigational drugs (clinical trials).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B6521B" w:rsidRDefault="006D12E6" w:rsidP="00AC74B9">
            <w:r w:rsidRPr="00122C76">
              <w:t>CTE PT.3.3.6 Identify drugs categorized as Risk Evaluation Mitigation Strategies (REMS).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6D12E6" w:rsidRDefault="006D12E6" w:rsidP="006D12E6"/>
    <w:p w:rsidR="006D12E6" w:rsidRPr="006D12E6" w:rsidRDefault="006D12E6" w:rsidP="006D12E6"/>
    <w:p w:rsidR="003F0495" w:rsidRDefault="003F0495" w:rsidP="00E57778">
      <w:pPr>
        <w:pStyle w:val="Heading2"/>
        <w:rPr>
          <w:rStyle w:val="IntenseEmphasis"/>
          <w:b w:val="0"/>
          <w:color w:val="417FD0" w:themeColor="text2" w:themeTint="99"/>
          <w:sz w:val="28"/>
          <w:szCs w:val="28"/>
        </w:rPr>
      </w:pPr>
      <w:r w:rsidRPr="003F0495">
        <w:rPr>
          <w:rStyle w:val="IntenseEmphasis"/>
          <w:color w:val="417FD0" w:themeColor="text2" w:themeTint="99"/>
          <w:sz w:val="28"/>
          <w:szCs w:val="28"/>
        </w:rPr>
        <w:lastRenderedPageBreak/>
        <w:t xml:space="preserve">Standard 4.0: Sterile and Non-Sterile Compounding </w:t>
      </w:r>
    </w:p>
    <w:p w:rsidR="00FE7526" w:rsidRDefault="003F0495" w:rsidP="00895824">
      <w:pPr>
        <w:pStyle w:val="Heading3"/>
        <w:rPr>
          <w:rFonts w:eastAsia="Times New Roman"/>
          <w:color w:val="auto"/>
        </w:rPr>
      </w:pPr>
      <w:r>
        <w:rPr>
          <w:rFonts w:eastAsia="Times New Roman"/>
          <w:color w:val="auto"/>
        </w:rPr>
        <w:t>P</w:t>
      </w:r>
      <w:r w:rsidRPr="003F0495">
        <w:rPr>
          <w:rFonts w:eastAsia="Times New Roman"/>
          <w:color w:val="auto"/>
        </w:rPr>
        <w:t>erformance Standard PT.4.1 Compounding Sterile Products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B645FD">
              <w:t>CTE PT.4.1.1 Understand universal precautions for sterile compounding.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B645FD" w:rsidRDefault="006D12E6" w:rsidP="00AC74B9">
            <w:r w:rsidRPr="00B645FD">
              <w:t>CTE PT.4.1.2 Introduce the scope of USP Guidelines as appropriate.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B645FD" w:rsidRDefault="006D12E6" w:rsidP="00AC74B9">
            <w:r w:rsidRPr="00493834">
              <w:t>CTE PT.4.1.3 Understand how to read a label.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93834" w:rsidRDefault="006D12E6" w:rsidP="00AC74B9">
            <w:r w:rsidRPr="00493834">
              <w:t>CTE PT.4.1.4 Identify the equipment and technology used in sterile compounding.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93834" w:rsidRDefault="006D12E6" w:rsidP="00AC74B9">
            <w:r w:rsidRPr="00493834">
              <w:t>CTE PT.4.1.5 Determine the correct amounts of ingredients.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93834" w:rsidRDefault="006D12E6" w:rsidP="00AC74B9">
            <w:r w:rsidRPr="00493834">
              <w:t>CTE PT.4.1.6 Explain reconstitution of sterile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0162C8" w:rsidRDefault="00E00FFB" w:rsidP="000162C8">
      <w:pPr>
        <w:pStyle w:val="Heading3"/>
        <w:rPr>
          <w:rFonts w:eastAsia="Times New Roman"/>
          <w:color w:val="auto"/>
        </w:rPr>
      </w:pPr>
      <w:r w:rsidRPr="00E00FFB">
        <w:rPr>
          <w:rFonts w:eastAsia="Times New Roman"/>
          <w:color w:val="auto"/>
        </w:rPr>
        <w:t>Performance Standard PT.4.2 Compounding Non-Sterile Products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C52B0B">
              <w:t>CTE PT.4.2.1 Understand universal precautions for non-sterile compounding.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C52B0B" w:rsidRDefault="006D12E6" w:rsidP="00AC74B9">
            <w:r w:rsidRPr="00D46245">
              <w:t>CTE PT.4.2.2 Introduce the scope of USP Guidelines as appropriate.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D46245" w:rsidRDefault="006D12E6" w:rsidP="00AC74B9">
            <w:r w:rsidRPr="0045672A">
              <w:lastRenderedPageBreak/>
              <w:t>CTE PT.4.2.3 Understand how to read a prescription for compounding.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5672A" w:rsidRDefault="006D12E6" w:rsidP="00AC74B9">
            <w:r w:rsidRPr="0045672A">
              <w:t>CTE PT.4.2.4 Identify the equipment, apparatus, and technology used in non-sterile compounding.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5672A" w:rsidRDefault="006D12E6" w:rsidP="00AC74B9">
            <w:r w:rsidRPr="002224A7">
              <w:t>CTE PT.4.2.5 Determine the correct amounts of ingredients.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B45EF1" w:rsidRDefault="00FA086B" w:rsidP="00E57778">
      <w:pPr>
        <w:pStyle w:val="Heading2"/>
        <w:rPr>
          <w:rStyle w:val="IntenseEmphasis"/>
          <w:b w:val="0"/>
          <w:color w:val="417FD0" w:themeColor="text2" w:themeTint="99"/>
          <w:sz w:val="28"/>
          <w:szCs w:val="28"/>
        </w:rPr>
      </w:pPr>
      <w:r w:rsidRPr="00FA086B">
        <w:rPr>
          <w:rStyle w:val="IntenseEmphasis"/>
          <w:color w:val="417FD0" w:themeColor="text2" w:themeTint="99"/>
          <w:sz w:val="28"/>
          <w:szCs w:val="28"/>
        </w:rPr>
        <w:t>Standard 5.0: Procurement, Billing, Reimbursement, and Inventory Management</w:t>
      </w:r>
    </w:p>
    <w:p w:rsidR="00FE7526" w:rsidRDefault="00FA086B" w:rsidP="00895824">
      <w:pPr>
        <w:pStyle w:val="Heading3"/>
        <w:rPr>
          <w:rFonts w:eastAsia="Times New Roman"/>
          <w:color w:val="auto"/>
        </w:rPr>
      </w:pPr>
      <w:r w:rsidRPr="00FA086B">
        <w:rPr>
          <w:rFonts w:eastAsia="Times New Roman"/>
          <w:color w:val="auto"/>
        </w:rPr>
        <w:t xml:space="preserve">Performance Standard PT.5.1 Assist in the </w:t>
      </w:r>
      <w:r>
        <w:rPr>
          <w:rFonts w:eastAsia="Times New Roman"/>
          <w:color w:val="auto"/>
        </w:rPr>
        <w:t>Adjudication o</w:t>
      </w:r>
      <w:r w:rsidRPr="00FA086B">
        <w:rPr>
          <w:rFonts w:eastAsia="Times New Roman"/>
          <w:color w:val="auto"/>
        </w:rPr>
        <w:t>f Billing</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865114">
              <w:t>CTE PT.5.1.1 Define the term third party.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865114" w:rsidRDefault="006D12E6" w:rsidP="00AC74B9">
            <w:r w:rsidRPr="00865114">
              <w:t>CTE PT.5.1.2 Understand the terminology of insurance billing.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865114" w:rsidRDefault="006D12E6" w:rsidP="00AC74B9">
            <w:r w:rsidRPr="00865114">
              <w:t>CTE PT.5.1.3 Demonstrate how to find information on an insurance card.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865114" w:rsidRDefault="006D12E6" w:rsidP="00AC74B9">
            <w:r w:rsidRPr="00485F66">
              <w:t>CTE PT.5.1.4 Explain pharmacy reimbursement plans.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85F66" w:rsidRDefault="006D12E6" w:rsidP="00AC74B9">
            <w:r w:rsidRPr="00485F66">
              <w:t>CTE PT.5.1.5 Explain ordering system and the technology applied.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6D12E6" w:rsidRDefault="006D12E6" w:rsidP="006D12E6"/>
    <w:p w:rsidR="006D12E6" w:rsidRPr="006D12E6" w:rsidRDefault="006D12E6" w:rsidP="006D12E6"/>
    <w:p w:rsidR="00D85A7F" w:rsidRDefault="00D85A7F" w:rsidP="00D85A7F">
      <w:pPr>
        <w:pStyle w:val="Heading3"/>
        <w:rPr>
          <w:rFonts w:eastAsia="Times New Roman"/>
          <w:color w:val="auto"/>
        </w:rPr>
      </w:pPr>
      <w:r w:rsidRPr="00D85A7F">
        <w:rPr>
          <w:rFonts w:eastAsia="Times New Roman"/>
          <w:color w:val="auto"/>
        </w:rPr>
        <w:lastRenderedPageBreak/>
        <w:t xml:space="preserve">Performance Standard PT.5.2 Accepted </w:t>
      </w:r>
      <w:r>
        <w:rPr>
          <w:rFonts w:eastAsia="Times New Roman"/>
          <w:color w:val="auto"/>
        </w:rPr>
        <w:t>Procedure i</w:t>
      </w:r>
      <w:r w:rsidRPr="00D85A7F">
        <w:rPr>
          <w:rFonts w:eastAsia="Times New Roman"/>
          <w:color w:val="auto"/>
        </w:rPr>
        <w:t>n Purchasing Pharmaceuticals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7C08FC">
              <w:t>CTE PT.5.2.1 Describe various procedures in purchasing pharmaceuticals.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C08FC" w:rsidRDefault="006D12E6" w:rsidP="00AC74B9">
            <w:r w:rsidRPr="007C08FC">
              <w:t>CTE PT.5.2.2 Explain controlled substance ordering systems (DEA Form 222).</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C08FC" w:rsidRDefault="006D12E6" w:rsidP="00AC74B9">
            <w:r w:rsidRPr="007C08FC">
              <w:t>CTE PT.5.2.3 Explain ordering system and the technology applied.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D85A7F" w:rsidRDefault="00D85A7F" w:rsidP="00D85A7F">
      <w:pPr>
        <w:pStyle w:val="Heading3"/>
        <w:rPr>
          <w:rFonts w:eastAsia="Times New Roman"/>
          <w:color w:val="auto"/>
        </w:rPr>
      </w:pPr>
      <w:r w:rsidRPr="00D85A7F">
        <w:rPr>
          <w:rFonts w:eastAsia="Times New Roman"/>
          <w:color w:val="auto"/>
        </w:rPr>
        <w:t>Performance Standard PT.5.3 Accepted Proce</w:t>
      </w:r>
      <w:r>
        <w:rPr>
          <w:rFonts w:eastAsia="Times New Roman"/>
          <w:color w:val="auto"/>
        </w:rPr>
        <w:t>dures i</w:t>
      </w:r>
      <w:r w:rsidRPr="00D85A7F">
        <w:rPr>
          <w:rFonts w:eastAsia="Times New Roman"/>
          <w:color w:val="auto"/>
        </w:rPr>
        <w:t>n Inventory Control</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690893">
              <w:t>CTE PT.5.3.1 Differentiate inventory control systems for various drug classifications.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690893" w:rsidRDefault="006D12E6" w:rsidP="00AC74B9">
            <w:r w:rsidRPr="00690893">
              <w:t>CTE PT.5.3.2 Explain legal aspects of drug returns from patients.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690893" w:rsidRDefault="006D12E6" w:rsidP="00AC74B9">
            <w:r w:rsidRPr="00C03E95">
              <w:t>CTE PT.5.3.3 Describe reasons for recalled drugs, the two types and the three levels of drug recalls.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C03E95" w:rsidRDefault="006D12E6" w:rsidP="00AC74B9">
            <w:r w:rsidRPr="00C03E95">
              <w:t>CTE PT.5.3.4 Explain standard procedures for reviewing and removing outdated drug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C03E95" w:rsidRDefault="006D12E6" w:rsidP="00AC74B9">
            <w:r w:rsidRPr="00A6263D">
              <w:t>CTE PT.5.3.5 Explain methods of obtaining drug products from alternate 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A6263D" w:rsidRDefault="006D12E6" w:rsidP="00AC74B9">
            <w:r w:rsidRPr="005135A7">
              <w:lastRenderedPageBreak/>
              <w:t>CTE PT.5.3.6 Understand formularies in the pharmacy.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631BEE" w:rsidRDefault="00631BEE" w:rsidP="00631BEE">
      <w:pPr>
        <w:pStyle w:val="Heading3"/>
        <w:rPr>
          <w:rFonts w:eastAsia="Times New Roman"/>
          <w:color w:val="auto"/>
        </w:rPr>
      </w:pPr>
      <w:r w:rsidRPr="00631BEE">
        <w:rPr>
          <w:rFonts w:eastAsia="Times New Roman"/>
          <w:color w:val="auto"/>
        </w:rPr>
        <w:t>Performance Standard PT.5.4 Processing Paymen</w:t>
      </w:r>
      <w:r>
        <w:rPr>
          <w:rFonts w:eastAsia="Times New Roman"/>
          <w:color w:val="auto"/>
        </w:rPr>
        <w:t xml:space="preserve">t Options </w:t>
      </w:r>
      <w:proofErr w:type="gramStart"/>
      <w:r>
        <w:rPr>
          <w:rFonts w:eastAsia="Times New Roman"/>
          <w:color w:val="auto"/>
        </w:rPr>
        <w:t>For</w:t>
      </w:r>
      <w:proofErr w:type="gramEnd"/>
      <w:r>
        <w:rPr>
          <w:rFonts w:eastAsia="Times New Roman"/>
          <w:color w:val="auto"/>
        </w:rPr>
        <w:t xml:space="preserve"> Medical Products a</w:t>
      </w:r>
      <w:r w:rsidRPr="00631BEE">
        <w:rPr>
          <w:rFonts w:eastAsia="Times New Roman"/>
          <w:color w:val="auto"/>
        </w:rPr>
        <w:t>nd Services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CA2063">
              <w:t>CTE PT.5.4.1 Role play Point of Sale (POS) transactions.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CA2063" w:rsidRDefault="006D12E6" w:rsidP="00AC74B9">
            <w:r w:rsidRPr="005F6D67">
              <w:t>CTE PT.5.4.2 Verify address and patient information to assure proper dispensing.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F6D67" w:rsidRDefault="006D12E6" w:rsidP="00AC74B9">
            <w:r w:rsidRPr="005F6D67">
              <w:t>CTE PT.5.4.3 Understand required forms of identification for drug transactions and signature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F6D67" w:rsidRDefault="006D12E6" w:rsidP="00AC74B9">
            <w:r w:rsidRPr="005F6D67">
              <w:t>CTE PT.5.4.4 Understand age limits and purchase limits in dispensing certain pharmaceuticals.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6D12E6" w:rsidRDefault="006D12E6" w:rsidP="006D12E6"/>
    <w:p w:rsidR="006D12E6" w:rsidRPr="006D12E6" w:rsidRDefault="006D12E6" w:rsidP="006D12E6"/>
    <w:p w:rsidR="00301E06" w:rsidRDefault="00301E06" w:rsidP="00895824">
      <w:pPr>
        <w:pStyle w:val="Heading3"/>
        <w:rPr>
          <w:rStyle w:val="IntenseEmphasis"/>
          <w:rFonts w:eastAsiaTheme="minorHAnsi" w:cstheme="minorBidi"/>
          <w:b/>
          <w:color w:val="417FD0" w:themeColor="text2" w:themeTint="99"/>
          <w:sz w:val="28"/>
          <w:szCs w:val="28"/>
        </w:rPr>
      </w:pPr>
    </w:p>
    <w:p w:rsidR="00301E06" w:rsidRDefault="00301E06" w:rsidP="00301E06">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B00707" w:rsidP="00E57778">
      <w:pPr>
        <w:pStyle w:val="Heading2"/>
        <w:rPr>
          <w:rStyle w:val="IntenseEmphasis"/>
          <w:b w:val="0"/>
          <w:color w:val="417FD0" w:themeColor="text2" w:themeTint="99"/>
          <w:sz w:val="28"/>
          <w:szCs w:val="28"/>
        </w:rPr>
      </w:pPr>
      <w:r w:rsidRPr="00B00707">
        <w:rPr>
          <w:rStyle w:val="IntenseEmphasis"/>
          <w:color w:val="417FD0" w:themeColor="text2" w:themeTint="99"/>
          <w:sz w:val="28"/>
          <w:szCs w:val="28"/>
        </w:rPr>
        <w:lastRenderedPageBreak/>
        <w:t>Standard 6.0: Safety</w:t>
      </w:r>
    </w:p>
    <w:p w:rsidR="00FE7526" w:rsidRDefault="00B00707" w:rsidP="00895824">
      <w:pPr>
        <w:pStyle w:val="Heading3"/>
        <w:rPr>
          <w:color w:val="auto"/>
        </w:rPr>
      </w:pPr>
      <w:r w:rsidRPr="00B00707">
        <w:rPr>
          <w:color w:val="auto"/>
        </w:rPr>
        <w:t xml:space="preserve">Performance Standard PT.6.1 Patient </w:t>
      </w:r>
      <w:r>
        <w:rPr>
          <w:color w:val="auto"/>
        </w:rPr>
        <w:t>S</w:t>
      </w:r>
      <w:r w:rsidRPr="00B00707">
        <w:rPr>
          <w:color w:val="auto"/>
        </w:rPr>
        <w:t>afety</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290F0C">
              <w:t>CTE PT.6.1.1 Practice effective infection control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290F0C" w:rsidRDefault="006D12E6" w:rsidP="00AC74B9">
            <w:r w:rsidRPr="00D40C79">
              <w:t>CTE PT.6.1.2 Define and recognize a possible Drug Utilization Review (DUR).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D40C79" w:rsidRDefault="006D12E6" w:rsidP="00AC74B9">
            <w:r w:rsidRPr="00897192">
              <w:t>CTE PT.6.1.3 Describe the role of Institute for Safe Medical Practices (ISMP), Medical Error Reporting Program (MERP), Joint Commission Accreditation of Hospital Organizations (JCAHO).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895824" w:rsidRDefault="003A62BD" w:rsidP="003A62BD">
      <w:pPr>
        <w:pStyle w:val="Heading3"/>
        <w:rPr>
          <w:rFonts w:eastAsia="Times New Roman"/>
          <w:color w:val="auto"/>
        </w:rPr>
      </w:pPr>
      <w:r w:rsidRPr="003A62BD">
        <w:rPr>
          <w:rFonts w:eastAsia="Times New Roman"/>
          <w:color w:val="auto"/>
        </w:rPr>
        <w:t>Performance Standard PT.6.2 Practice Medication Safety</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156100">
              <w:t>CTE PT.6.2.1 Identify sound-alike/look-alike drugs.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156100" w:rsidRDefault="006D12E6" w:rsidP="00AC74B9">
            <w:r w:rsidRPr="00156100">
              <w:t>CTE PT.6.2.2 Identify high alert/high risk medications.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156100" w:rsidRDefault="006D12E6" w:rsidP="006D12E6">
            <w:r w:rsidRPr="00156100">
              <w:t xml:space="preserve">CTE PT.6.2.3 Identify common safety strategies.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156100" w:rsidRDefault="006D12E6" w:rsidP="006D12E6">
            <w:r w:rsidRPr="00A55D5D">
              <w:t>CTE PT.6.2.4 Identify quality assurance.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A55D5D" w:rsidRDefault="006D12E6" w:rsidP="006D12E6">
            <w:r w:rsidRPr="00F23926">
              <w:t>CTE PT.6.2.5 Practice Tech-Check-Tech.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F23926" w:rsidRDefault="006D12E6" w:rsidP="006D12E6">
            <w:r w:rsidRPr="00F23926">
              <w:t>CTE PT.6.2.6 Practice receiving verbal orders.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bl>
    <w:p w:rsidR="006D12E6" w:rsidRDefault="006D12E6" w:rsidP="006D12E6"/>
    <w:p w:rsidR="003411D8" w:rsidRDefault="003A62BD" w:rsidP="00E57778">
      <w:pPr>
        <w:pStyle w:val="Heading2"/>
        <w:rPr>
          <w:rStyle w:val="IntenseEmphasis"/>
          <w:b w:val="0"/>
          <w:bCs w:val="0"/>
          <w:color w:val="417FD0" w:themeColor="text2" w:themeTint="99"/>
          <w:sz w:val="28"/>
          <w:szCs w:val="28"/>
        </w:rPr>
      </w:pPr>
      <w:r w:rsidRPr="003A62BD">
        <w:rPr>
          <w:rStyle w:val="IntenseEmphasis"/>
          <w:color w:val="417FD0" w:themeColor="text2" w:themeTint="99"/>
          <w:sz w:val="28"/>
          <w:szCs w:val="28"/>
        </w:rPr>
        <w:t>Standard 7.0: Understand Technology and Informatics</w:t>
      </w:r>
    </w:p>
    <w:p w:rsidR="00FE7526" w:rsidRDefault="000B16FC" w:rsidP="00DD56D6">
      <w:pPr>
        <w:pStyle w:val="Heading3"/>
        <w:rPr>
          <w:rFonts w:eastAsia="Times New Roman"/>
          <w:color w:val="auto"/>
        </w:rPr>
      </w:pPr>
      <w:r w:rsidRPr="000B16FC">
        <w:rPr>
          <w:rFonts w:eastAsia="Times New Roman"/>
          <w:color w:val="auto"/>
        </w:rPr>
        <w:t>Performance Standard PT.7.1 Proper Pharmaceutical Dispensing</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7824D8">
              <w:t>CTE PT.7.1.1 Identify National Association Boards of Pharmacy (NABP) and Idaho BOP requirements in labeling prescriptions.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824D8" w:rsidRDefault="006D12E6" w:rsidP="00AC74B9">
            <w:r w:rsidRPr="007824D8">
              <w:t>CTE PT.7.1.2 Discuss emerging technologies which includes electronic medical records (EMR).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824D8" w:rsidRDefault="006D12E6" w:rsidP="00AC74B9">
            <w:r w:rsidRPr="007824D8">
              <w:t>CTE PT.7.1.3 Describe prescription process (receiving to dispensing).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824D8" w:rsidRDefault="006D12E6" w:rsidP="00AC74B9">
            <w:r w:rsidRPr="00787A12">
              <w:t>CTE PT.7.1.4 Recognize fraudulent prescriptions.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87A12" w:rsidRDefault="006D12E6" w:rsidP="00AC74B9">
            <w:r w:rsidRPr="00DF2DA1">
              <w:t>CTE PT.7.1.5 Understand reliable drug information resources.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6D12E6" w:rsidRDefault="006D12E6" w:rsidP="006D12E6"/>
    <w:p w:rsidR="006D12E6" w:rsidRPr="006D12E6" w:rsidRDefault="006D12E6" w:rsidP="006D12E6"/>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972E80" w:rsidP="00E57778">
      <w:pPr>
        <w:pStyle w:val="Heading2"/>
        <w:rPr>
          <w:rStyle w:val="IntenseEmphasis"/>
          <w:b w:val="0"/>
          <w:color w:val="417FD0" w:themeColor="text2" w:themeTint="99"/>
          <w:sz w:val="28"/>
          <w:szCs w:val="28"/>
        </w:rPr>
      </w:pPr>
      <w:r w:rsidRPr="00972E80">
        <w:rPr>
          <w:rStyle w:val="IntenseEmphasis"/>
          <w:color w:val="417FD0" w:themeColor="text2" w:themeTint="99"/>
          <w:sz w:val="28"/>
          <w:szCs w:val="28"/>
        </w:rPr>
        <w:lastRenderedPageBreak/>
        <w:t>Standard 8.0: Pharmacology</w:t>
      </w:r>
    </w:p>
    <w:p w:rsidR="00FE7526" w:rsidRDefault="00972E80" w:rsidP="00895824">
      <w:pPr>
        <w:pStyle w:val="Heading3"/>
        <w:rPr>
          <w:rFonts w:eastAsia="Times New Roman"/>
          <w:color w:val="auto"/>
        </w:rPr>
      </w:pPr>
      <w:r w:rsidRPr="00972E80">
        <w:rPr>
          <w:rFonts w:eastAsia="Times New Roman"/>
          <w:color w:val="auto"/>
        </w:rPr>
        <w:t>Performance Standard PT.8.1 Understanding Pharmacokinetics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4E1571" w:rsidRDefault="006D12E6" w:rsidP="00AC74B9">
            <w:r w:rsidRPr="003F33BF">
              <w:t>CTE PT.8.1.1 Understand absorption, distribution, metabolism, excretion (ADME), and the related organs.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3411D8" w:rsidRDefault="00972E80" w:rsidP="003411D8">
      <w:pPr>
        <w:pStyle w:val="Heading3"/>
        <w:rPr>
          <w:rFonts w:eastAsia="Times New Roman"/>
          <w:color w:val="auto"/>
        </w:rPr>
      </w:pPr>
      <w:r w:rsidRPr="00972E80">
        <w:rPr>
          <w:rFonts w:eastAsia="Times New Roman"/>
          <w:color w:val="auto"/>
        </w:rPr>
        <w:t xml:space="preserve">Performance Standard PT.8.2 Understanding </w:t>
      </w:r>
      <w:r>
        <w:rPr>
          <w:rFonts w:eastAsia="Times New Roman"/>
          <w:color w:val="auto"/>
        </w:rPr>
        <w:t>P</w:t>
      </w:r>
      <w:r w:rsidRPr="00972E80">
        <w:rPr>
          <w:rFonts w:eastAsia="Times New Roman"/>
          <w:color w:val="auto"/>
        </w:rPr>
        <w:t>harmacodynamics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07510" w:rsidRDefault="006D12E6" w:rsidP="006D12E6">
            <w:r w:rsidRPr="00507510">
              <w:t xml:space="preserve">CTE PT.8.2.1 Understand drug classifications.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07510" w:rsidRDefault="006D12E6" w:rsidP="006D12E6">
            <w:r w:rsidRPr="00507510">
              <w:t>CTE PT.8.2.2 Recognize generic and brand names of common drugs.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07510" w:rsidRDefault="006D12E6" w:rsidP="006D12E6">
            <w:r w:rsidRPr="00507510">
              <w:t>CTE PT.8.2.3 Identify drug interactions/side effects of commonly prescribed drugs.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07510" w:rsidRDefault="006D12E6" w:rsidP="006D12E6">
            <w:r w:rsidRPr="00D124C4">
              <w:t>CTE PT.8.2.4 Explain strengths/dosage, dosage 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D124C4" w:rsidRDefault="006D12E6" w:rsidP="006D12E6">
            <w:r w:rsidRPr="0063517A">
              <w:t>CTE PT.8.2.5 Differentiate routes of administration.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6D12E6"/>
        </w:tc>
      </w:tr>
    </w:tbl>
    <w:p w:rsidR="006D12E6" w:rsidRDefault="006D12E6" w:rsidP="006D12E6"/>
    <w:p w:rsidR="006D12E6" w:rsidRPr="006D12E6" w:rsidRDefault="006D12E6" w:rsidP="006D12E6"/>
    <w:p w:rsidR="00972E80" w:rsidRDefault="00972E80" w:rsidP="00972E80">
      <w:pPr>
        <w:pStyle w:val="Heading3"/>
        <w:rPr>
          <w:rFonts w:eastAsia="Times New Roman"/>
          <w:color w:val="auto"/>
        </w:rPr>
      </w:pPr>
      <w:r w:rsidRPr="00972E80">
        <w:rPr>
          <w:rFonts w:eastAsia="Times New Roman"/>
          <w:color w:val="auto"/>
        </w:rPr>
        <w:lastRenderedPageBreak/>
        <w:t xml:space="preserve">Performance Standard PT.8.3 Recognizing </w:t>
      </w:r>
      <w:r>
        <w:rPr>
          <w:rFonts w:eastAsia="Times New Roman"/>
          <w:color w:val="auto"/>
        </w:rPr>
        <w:t>Over-The-Counter a</w:t>
      </w:r>
      <w:r w:rsidRPr="00972E80">
        <w:rPr>
          <w:rFonts w:eastAsia="Times New Roman"/>
          <w:color w:val="auto"/>
        </w:rPr>
        <w:t>nd Alternative Therapies</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07510" w:rsidRDefault="006D12E6" w:rsidP="00AC74B9">
            <w:r w:rsidRPr="00745F5F">
              <w:t>CTE PT.8.3.1 Recognize over-the-counter (OTC)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45F5F" w:rsidRDefault="006D12E6" w:rsidP="00AC74B9">
            <w:r w:rsidRPr="00745F5F">
              <w:t>CTE PT.8.3.2 Explain vitamins, minerals, and herbal supplements.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745F5F" w:rsidRDefault="006D12E6" w:rsidP="00AC74B9">
            <w:r w:rsidRPr="00745F5F">
              <w:t>CTE PT.8.3.3 Identify devices and durable medical equipment (DME), i.e., testing devices, first aid, and wound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bl>
    <w:p w:rsidR="006D12E6" w:rsidRDefault="006D12E6" w:rsidP="006D12E6"/>
    <w:p w:rsidR="006D12E6" w:rsidRPr="006D12E6" w:rsidRDefault="006D12E6" w:rsidP="006D12E6"/>
    <w:p w:rsidR="00D55602" w:rsidRDefault="00D55602" w:rsidP="003411D8">
      <w:pPr>
        <w:pStyle w:val="Heading3"/>
        <w:rPr>
          <w:rStyle w:val="IntenseEmphasis"/>
          <w:rFonts w:eastAsiaTheme="minorHAnsi" w:cstheme="minorBidi"/>
          <w:b/>
          <w:color w:val="417FD0" w:themeColor="text2" w:themeTint="99"/>
          <w:sz w:val="28"/>
          <w:szCs w:val="28"/>
        </w:rPr>
      </w:pPr>
    </w:p>
    <w:p w:rsidR="00D55602" w:rsidRDefault="00D55602" w:rsidP="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3411D8" w:rsidRDefault="00C17DA5" w:rsidP="00E57778">
      <w:pPr>
        <w:pStyle w:val="Heading2"/>
        <w:rPr>
          <w:rStyle w:val="IntenseEmphasis"/>
          <w:b w:val="0"/>
          <w:color w:val="417FD0" w:themeColor="text2" w:themeTint="99"/>
          <w:sz w:val="28"/>
          <w:szCs w:val="28"/>
        </w:rPr>
      </w:pPr>
      <w:r w:rsidRPr="00C17DA5">
        <w:rPr>
          <w:rStyle w:val="IntenseEmphasis"/>
          <w:color w:val="417FD0" w:themeColor="text2" w:themeTint="99"/>
          <w:sz w:val="28"/>
          <w:szCs w:val="28"/>
        </w:rPr>
        <w:lastRenderedPageBreak/>
        <w:t>Standard 9.0: Application of Pharmaceutical Mathematics</w:t>
      </w:r>
    </w:p>
    <w:p w:rsidR="003411D8" w:rsidRDefault="00C17DA5" w:rsidP="003411D8">
      <w:pPr>
        <w:pStyle w:val="Heading3"/>
        <w:rPr>
          <w:rFonts w:eastAsia="Times New Roman"/>
          <w:color w:val="auto"/>
        </w:rPr>
      </w:pPr>
      <w:r w:rsidRPr="00C17DA5">
        <w:rPr>
          <w:rFonts w:eastAsia="Times New Roman"/>
          <w:color w:val="auto"/>
        </w:rPr>
        <w:t xml:space="preserve">Performance Standard PT.9.1 Apply </w:t>
      </w:r>
      <w:r>
        <w:rPr>
          <w:rFonts w:eastAsia="Times New Roman"/>
          <w:color w:val="auto"/>
        </w:rPr>
        <w:t>Mathematics i</w:t>
      </w:r>
      <w:r w:rsidRPr="00C17DA5">
        <w:rPr>
          <w:rFonts w:eastAsia="Times New Roman"/>
          <w:color w:val="auto"/>
        </w:rPr>
        <w:t>n Pharmaceutical Practice</w:t>
      </w:r>
    </w:p>
    <w:tbl>
      <w:tblPr>
        <w:tblStyle w:val="ProposalTable"/>
        <w:tblW w:w="5000" w:type="pct"/>
        <w:tblLook w:val="04A0" w:firstRow="1" w:lastRow="0" w:firstColumn="1" w:lastColumn="0" w:noHBand="0" w:noVBand="1"/>
      </w:tblPr>
      <w:tblGrid>
        <w:gridCol w:w="3415"/>
        <w:gridCol w:w="5935"/>
      </w:tblGrid>
      <w:tr w:rsidR="006D12E6"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D12E6" w:rsidRDefault="006D12E6"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D12E6"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Pr="00507510" w:rsidRDefault="006D12E6" w:rsidP="00AC74B9">
            <w:r w:rsidRPr="00186D1A">
              <w:t>CTE PT.9.1.1 Demonstrate knowledge of Measurement Systems (temperature conversions, conversions from household to metric).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D12E6" w:rsidRDefault="006D12E6"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4F240A" w:rsidRDefault="00CA1389" w:rsidP="00CA1389">
            <w:r w:rsidRPr="004F240A">
              <w:t>CTE PT.9.1.2 Demonstrate ratios and proportions (dimensional analysis).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CA138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4F240A" w:rsidRDefault="00CA1389" w:rsidP="00CA1389">
            <w:r w:rsidRPr="004F240A">
              <w:t>CTE PT.9.1.3 Understand drug strengths in percentages.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CA138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4F240A" w:rsidRDefault="00CA1389" w:rsidP="00CA1389">
            <w:r w:rsidRPr="004F240A">
              <w:t>CTE PT.9.1.4 Demonstrate dosage calculations (based on age, weight, and body surface area; drip rates).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CA138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4F240A" w:rsidRDefault="00CA1389" w:rsidP="00CA1389">
            <w:r w:rsidRPr="00970310">
              <w:t>CTE PT.9.1.5 Compute “</w:t>
            </w:r>
            <w:proofErr w:type="spellStart"/>
            <w:r w:rsidRPr="00970310">
              <w:t>Days</w:t>
            </w:r>
            <w:proofErr w:type="spellEnd"/>
            <w:r w:rsidRPr="00970310">
              <w:t xml:space="preserve"> Supply.”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CA138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970310" w:rsidRDefault="00CA1389" w:rsidP="00CA1389">
            <w:r w:rsidRPr="00970310">
              <w:t>CTE PT.9.1.6 Calculate “Quantity to Dispense.”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CA138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970310" w:rsidRDefault="00CA1389" w:rsidP="00CA1389">
            <w:r w:rsidRPr="00970310">
              <w:t>CTE PT.9.1.7 Understand “</w:t>
            </w:r>
            <w:proofErr w:type="spellStart"/>
            <w:r w:rsidRPr="00970310">
              <w:t>All</w:t>
            </w:r>
            <w:r>
              <w:t>i</w:t>
            </w:r>
            <w:r w:rsidRPr="00970310">
              <w:t>gations</w:t>
            </w:r>
            <w:proofErr w:type="spellEnd"/>
            <w:r w:rsidRPr="00970310">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CA1389"/>
        </w:tc>
      </w:tr>
    </w:tbl>
    <w:p w:rsidR="006D12E6" w:rsidRDefault="006D12E6" w:rsidP="006D12E6"/>
    <w:p w:rsidR="006D12E6" w:rsidRPr="006D12E6" w:rsidRDefault="006D12E6" w:rsidP="006D12E6"/>
    <w:p w:rsidR="0009565A" w:rsidRDefault="00481219" w:rsidP="00E57778">
      <w:pPr>
        <w:pStyle w:val="Heading2"/>
        <w:rPr>
          <w:rStyle w:val="IntenseEmphasis"/>
          <w:b w:val="0"/>
          <w:color w:val="417FD0" w:themeColor="text2" w:themeTint="99"/>
          <w:sz w:val="28"/>
          <w:szCs w:val="28"/>
        </w:rPr>
      </w:pPr>
      <w:r w:rsidRPr="00481219">
        <w:rPr>
          <w:rStyle w:val="IntenseEmphasis"/>
          <w:color w:val="417FD0" w:themeColor="text2" w:themeTint="99"/>
          <w:sz w:val="28"/>
          <w:szCs w:val="28"/>
        </w:rPr>
        <w:lastRenderedPageBreak/>
        <w:t>Standard 10.0: Recognize and Implement Quality Assurance</w:t>
      </w:r>
    </w:p>
    <w:p w:rsidR="003411D8" w:rsidRDefault="00481219" w:rsidP="003411D8">
      <w:pPr>
        <w:pStyle w:val="Heading3"/>
        <w:rPr>
          <w:rFonts w:eastAsia="Times New Roman"/>
          <w:color w:val="auto"/>
        </w:rPr>
      </w:pPr>
      <w:r w:rsidRPr="00481219">
        <w:rPr>
          <w:rFonts w:eastAsia="Times New Roman"/>
          <w:color w:val="auto"/>
        </w:rPr>
        <w:t>Performance Standard PT.10.1 Application of Assurance Practices</w:t>
      </w:r>
    </w:p>
    <w:tbl>
      <w:tblPr>
        <w:tblStyle w:val="ProposalTable"/>
        <w:tblW w:w="5000" w:type="pct"/>
        <w:tblLook w:val="04A0" w:firstRow="1" w:lastRow="0" w:firstColumn="1" w:lastColumn="0" w:noHBand="0" w:noVBand="1"/>
      </w:tblPr>
      <w:tblGrid>
        <w:gridCol w:w="3415"/>
        <w:gridCol w:w="5935"/>
      </w:tblGrid>
      <w:tr w:rsidR="00CA1389"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A1389" w:rsidRDefault="00CA1389"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A1389" w:rsidRDefault="00CA1389"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507510" w:rsidRDefault="00CA1389" w:rsidP="00AC74B9">
            <w:r w:rsidRPr="002D540B">
              <w:t>CTE PT.10.1.1 Understand Risk Management Guidelines and Regulations.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2D540B" w:rsidRDefault="00CA1389" w:rsidP="00AC74B9">
            <w:r w:rsidRPr="002D540B">
              <w:t>CTE PT.10.1.2 Determine proper communication channels.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2D540B" w:rsidRDefault="00CA1389" w:rsidP="00AC74B9">
            <w:r w:rsidRPr="002D540B">
              <w:t>CTE PT.10.1.3 Understand National Drug Code (NDC).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2D540B" w:rsidRDefault="00CA1389" w:rsidP="00AC74B9">
            <w:r w:rsidRPr="00E40077">
              <w:t>CTE PT.10.1.4 Differentiate reporting agencies (MedWatch, Poison Control, pharmaceutical manufacturer, FDA Hotline).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E40077" w:rsidRDefault="00CA1389" w:rsidP="00AC74B9">
            <w:r w:rsidRPr="00600262">
              <w:t>CTE PT.10.1.5 Understand universal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600262" w:rsidRDefault="00CA1389" w:rsidP="00AC74B9">
            <w:r w:rsidRPr="00600262">
              <w:t>CTE PT.10.1.6 Understand the importance of customer satisfaction.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r w:rsidR="00CA1389"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Pr="00600262" w:rsidRDefault="00CA1389" w:rsidP="00AC74B9">
            <w:r w:rsidRPr="00600262">
              <w:t>CTE PT.10.1.7 Understand pharmacy diversion.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A1389" w:rsidRDefault="00CA1389" w:rsidP="00AC74B9"/>
        </w:tc>
      </w:tr>
    </w:tbl>
    <w:p w:rsidR="00CA1389" w:rsidRDefault="00CA1389" w:rsidP="00CA1389"/>
    <w:p w:rsidR="00CA1389" w:rsidRPr="00CA1389" w:rsidRDefault="00CA1389" w:rsidP="00CA1389"/>
    <w:p w:rsidR="006941C0" w:rsidRDefault="006941C0">
      <w:pPr>
        <w:rPr>
          <w:rStyle w:val="IntenseEmphasis"/>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E57778" w:rsidRPr="00647901" w:rsidRDefault="00E57778" w:rsidP="00E57778">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E57778"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E57778" w:rsidRPr="00647901" w:rsidRDefault="00E57778"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E57778" w:rsidRPr="00647901" w:rsidRDefault="00E57778"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E5777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E57778" w:rsidRPr="002D3FFF" w:rsidRDefault="00E57778" w:rsidP="00E57778">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E57778" w:rsidRPr="00647901" w:rsidRDefault="00E57778" w:rsidP="00AC74B9">
            <w:pPr>
              <w:spacing w:after="0" w:line="288" w:lineRule="auto"/>
              <w:rPr>
                <w:rFonts w:eastAsia="Arial" w:cs="Times New Roman"/>
                <w:color w:val="3B3B3B"/>
              </w:rPr>
            </w:pPr>
          </w:p>
        </w:tc>
      </w:tr>
      <w:tr w:rsidR="00E5777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E57778" w:rsidRPr="002D3FFF" w:rsidRDefault="00E57778" w:rsidP="00E57778">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E57778" w:rsidRPr="00647901" w:rsidRDefault="00E57778" w:rsidP="00AC74B9">
            <w:pPr>
              <w:spacing w:after="0"/>
              <w:rPr>
                <w:rFonts w:eastAsia="Arial" w:cs="Times New Roman"/>
                <w:color w:val="3B3B3B"/>
              </w:rPr>
            </w:pPr>
          </w:p>
        </w:tc>
      </w:tr>
      <w:tr w:rsidR="00E5777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E57778" w:rsidRPr="002D3FFF" w:rsidRDefault="00E57778" w:rsidP="00E57778">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E57778" w:rsidRPr="00647901" w:rsidRDefault="00E57778" w:rsidP="00AC74B9">
            <w:pPr>
              <w:spacing w:after="0"/>
              <w:rPr>
                <w:rFonts w:eastAsia="Arial" w:cs="Times New Roman"/>
                <w:color w:val="3B3B3B"/>
              </w:rPr>
            </w:pPr>
          </w:p>
        </w:tc>
      </w:tr>
      <w:tr w:rsidR="00E57778"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E57778" w:rsidRPr="002D3FFF" w:rsidRDefault="00E57778" w:rsidP="00E57778">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E57778" w:rsidRPr="00647901" w:rsidRDefault="00E57778" w:rsidP="00AC74B9">
            <w:pPr>
              <w:spacing w:after="0"/>
              <w:rPr>
                <w:rFonts w:eastAsia="Arial" w:cs="Times New Roman"/>
                <w:color w:val="3B3B3B"/>
              </w:rPr>
            </w:pPr>
          </w:p>
        </w:tc>
      </w:tr>
      <w:tr w:rsidR="00E57778"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E57778" w:rsidRPr="002D3FFF" w:rsidRDefault="00E57778" w:rsidP="00E57778">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E57778" w:rsidRPr="00647901" w:rsidRDefault="00E57778"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43E" w:rsidRDefault="0000543E">
      <w:pPr>
        <w:spacing w:after="0" w:line="240" w:lineRule="auto"/>
      </w:pPr>
      <w:r>
        <w:separator/>
      </w:r>
    </w:p>
  </w:endnote>
  <w:endnote w:type="continuationSeparator" w:id="0">
    <w:p w:rsidR="0000543E" w:rsidRDefault="0000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43E" w:rsidRPr="00132C9E" w:rsidRDefault="0000543E"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A1389">
      <w:rPr>
        <w:rFonts w:ascii="Calibri" w:hAnsi="Calibri" w:cs="Open Sans"/>
        <w:color w:val="5C5C5C" w:themeColor="text1" w:themeTint="BF"/>
      </w:rPr>
      <w:t>02</w:t>
    </w:r>
    <w:r>
      <w:rPr>
        <w:rFonts w:ascii="Calibri" w:hAnsi="Calibri" w:cs="Open Sans"/>
        <w:color w:val="5C5C5C" w:themeColor="text1" w:themeTint="BF"/>
      </w:rPr>
      <w:t>/</w:t>
    </w:r>
    <w:r w:rsidR="00CA1389">
      <w:rPr>
        <w:rFonts w:ascii="Calibri" w:hAnsi="Calibri" w:cs="Open Sans"/>
        <w:color w:val="5C5C5C" w:themeColor="text1" w:themeTint="BF"/>
      </w:rPr>
      <w:t>05</w:t>
    </w:r>
    <w:r>
      <w:rPr>
        <w:rFonts w:ascii="Calibri" w:hAnsi="Calibri" w:cs="Open Sans"/>
        <w:color w:val="5C5C5C" w:themeColor="text1" w:themeTint="BF"/>
      </w:rPr>
      <w:t>/20</w:t>
    </w:r>
    <w:r w:rsidR="00CA1389">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Pharmacy Technician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01E06">
      <w:rPr>
        <w:rFonts w:ascii="Calibri" w:hAnsi="Calibri" w:cs="Open Sans SemiBold"/>
        <w:color w:val="112845" w:themeColor="text2" w:themeShade="BF"/>
      </w:rPr>
      <w:t>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0543E" w:rsidRPr="00D96187" w:rsidRDefault="0000543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43E" w:rsidRPr="00132C9E" w:rsidRDefault="0000543E"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A1389">
      <w:rPr>
        <w:rFonts w:ascii="Calibri" w:hAnsi="Calibri" w:cs="Open Sans"/>
        <w:color w:val="5C5C5C" w:themeColor="text1" w:themeTint="BF"/>
      </w:rPr>
      <w:t>02</w:t>
    </w:r>
    <w:r>
      <w:rPr>
        <w:rFonts w:ascii="Calibri" w:hAnsi="Calibri" w:cs="Open Sans"/>
        <w:color w:val="5C5C5C" w:themeColor="text1" w:themeTint="BF"/>
      </w:rPr>
      <w:t>/</w:t>
    </w:r>
    <w:r w:rsidR="00CA1389">
      <w:rPr>
        <w:rFonts w:ascii="Calibri" w:hAnsi="Calibri" w:cs="Open Sans"/>
        <w:color w:val="5C5C5C" w:themeColor="text1" w:themeTint="BF"/>
      </w:rPr>
      <w:t>05</w:t>
    </w:r>
    <w:r>
      <w:rPr>
        <w:rFonts w:ascii="Calibri" w:hAnsi="Calibri" w:cs="Open Sans"/>
        <w:color w:val="5C5C5C" w:themeColor="text1" w:themeTint="BF"/>
      </w:rPr>
      <w:t>/20</w:t>
    </w:r>
    <w:r w:rsidR="00CA1389">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Pharmacy Technician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301E06">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0543E" w:rsidRPr="006B5881" w:rsidRDefault="0000543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43E" w:rsidRDefault="0000543E">
      <w:pPr>
        <w:spacing w:after="0" w:line="240" w:lineRule="auto"/>
      </w:pPr>
      <w:r>
        <w:separator/>
      </w:r>
    </w:p>
  </w:footnote>
  <w:footnote w:type="continuationSeparator" w:id="0">
    <w:p w:rsidR="0000543E" w:rsidRDefault="0000543E">
      <w:pPr>
        <w:spacing w:after="0" w:line="240" w:lineRule="auto"/>
      </w:pPr>
      <w:r>
        <w:continuationSeparator/>
      </w:r>
    </w:p>
  </w:footnote>
  <w:footnote w:id="1">
    <w:p w:rsidR="0000543E" w:rsidRDefault="0000543E" w:rsidP="00E87961">
      <w:pPr>
        <w:pStyle w:val="FootnoteText"/>
      </w:pPr>
      <w:r>
        <w:rPr>
          <w:rStyle w:val="FootnoteReference"/>
        </w:rPr>
        <w:footnoteRef/>
      </w:r>
      <w:r>
        <w:t xml:space="preserve"> </w:t>
      </w:r>
      <w:hyperlink r:id="rId1" w:tooltip="Idaho Pharmacy Technician program standards" w:history="1">
        <w:r w:rsidRPr="00E57778">
          <w:rPr>
            <w:rStyle w:val="Hyperlink"/>
          </w:rPr>
          <w:t>Idaho Pharmacy Technician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43E" w:rsidRDefault="0000543E"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3481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543E"/>
    <w:rsid w:val="00007887"/>
    <w:rsid w:val="0001378B"/>
    <w:rsid w:val="00014FA1"/>
    <w:rsid w:val="000160F4"/>
    <w:rsid w:val="000162C8"/>
    <w:rsid w:val="00032F5D"/>
    <w:rsid w:val="00033CD6"/>
    <w:rsid w:val="00047D07"/>
    <w:rsid w:val="00062E3E"/>
    <w:rsid w:val="00083931"/>
    <w:rsid w:val="0009565A"/>
    <w:rsid w:val="00096168"/>
    <w:rsid w:val="000966CE"/>
    <w:rsid w:val="000A035E"/>
    <w:rsid w:val="000B020E"/>
    <w:rsid w:val="000B16FC"/>
    <w:rsid w:val="000E51BA"/>
    <w:rsid w:val="0010006A"/>
    <w:rsid w:val="00103DBC"/>
    <w:rsid w:val="00112D4A"/>
    <w:rsid w:val="001168C0"/>
    <w:rsid w:val="00154031"/>
    <w:rsid w:val="00180F84"/>
    <w:rsid w:val="0018288A"/>
    <w:rsid w:val="00196761"/>
    <w:rsid w:val="001B5314"/>
    <w:rsid w:val="0020177C"/>
    <w:rsid w:val="00245FA3"/>
    <w:rsid w:val="0025689F"/>
    <w:rsid w:val="0026476C"/>
    <w:rsid w:val="00281739"/>
    <w:rsid w:val="0029223D"/>
    <w:rsid w:val="002C4235"/>
    <w:rsid w:val="002D14F2"/>
    <w:rsid w:val="002F1BB5"/>
    <w:rsid w:val="00301E06"/>
    <w:rsid w:val="003328C8"/>
    <w:rsid w:val="003411D8"/>
    <w:rsid w:val="00347EBE"/>
    <w:rsid w:val="00356603"/>
    <w:rsid w:val="003823AC"/>
    <w:rsid w:val="00392BB4"/>
    <w:rsid w:val="0039503B"/>
    <w:rsid w:val="00395081"/>
    <w:rsid w:val="003A5AAF"/>
    <w:rsid w:val="003A62BD"/>
    <w:rsid w:val="003D0540"/>
    <w:rsid w:val="003D5F75"/>
    <w:rsid w:val="003F0495"/>
    <w:rsid w:val="0042685F"/>
    <w:rsid w:val="004667B3"/>
    <w:rsid w:val="00481219"/>
    <w:rsid w:val="00492A4E"/>
    <w:rsid w:val="004971D4"/>
    <w:rsid w:val="004A5ECE"/>
    <w:rsid w:val="004D7031"/>
    <w:rsid w:val="004E05E7"/>
    <w:rsid w:val="004F6D5A"/>
    <w:rsid w:val="00537CCA"/>
    <w:rsid w:val="005538F4"/>
    <w:rsid w:val="005B1976"/>
    <w:rsid w:val="005F35B6"/>
    <w:rsid w:val="00613391"/>
    <w:rsid w:val="00615807"/>
    <w:rsid w:val="00631317"/>
    <w:rsid w:val="00631BEE"/>
    <w:rsid w:val="00631D4D"/>
    <w:rsid w:val="00646404"/>
    <w:rsid w:val="00665F83"/>
    <w:rsid w:val="006941C0"/>
    <w:rsid w:val="006B5881"/>
    <w:rsid w:val="006C6691"/>
    <w:rsid w:val="006D12E6"/>
    <w:rsid w:val="006E5F0C"/>
    <w:rsid w:val="006F76E8"/>
    <w:rsid w:val="00715120"/>
    <w:rsid w:val="007334DA"/>
    <w:rsid w:val="00746AF6"/>
    <w:rsid w:val="00791D1B"/>
    <w:rsid w:val="007D0268"/>
    <w:rsid w:val="007D6485"/>
    <w:rsid w:val="007E114F"/>
    <w:rsid w:val="007F55DA"/>
    <w:rsid w:val="00807835"/>
    <w:rsid w:val="00837F0F"/>
    <w:rsid w:val="00853C51"/>
    <w:rsid w:val="00872142"/>
    <w:rsid w:val="0089512B"/>
    <w:rsid w:val="00895824"/>
    <w:rsid w:val="008B16D9"/>
    <w:rsid w:val="008C6AA4"/>
    <w:rsid w:val="008D7BC3"/>
    <w:rsid w:val="00904A84"/>
    <w:rsid w:val="009057E8"/>
    <w:rsid w:val="009113B2"/>
    <w:rsid w:val="009262F6"/>
    <w:rsid w:val="00940C28"/>
    <w:rsid w:val="00956C1B"/>
    <w:rsid w:val="00972E80"/>
    <w:rsid w:val="0097409D"/>
    <w:rsid w:val="00976BFB"/>
    <w:rsid w:val="00990C23"/>
    <w:rsid w:val="009A70D7"/>
    <w:rsid w:val="009B4882"/>
    <w:rsid w:val="00A01BFA"/>
    <w:rsid w:val="00A44619"/>
    <w:rsid w:val="00A50A58"/>
    <w:rsid w:val="00A85CAB"/>
    <w:rsid w:val="00A95A66"/>
    <w:rsid w:val="00AB724D"/>
    <w:rsid w:val="00AC0E97"/>
    <w:rsid w:val="00AD1E5A"/>
    <w:rsid w:val="00AD4B8D"/>
    <w:rsid w:val="00AD7F3B"/>
    <w:rsid w:val="00AE0F6C"/>
    <w:rsid w:val="00B00707"/>
    <w:rsid w:val="00B17D56"/>
    <w:rsid w:val="00B325E2"/>
    <w:rsid w:val="00B33BBD"/>
    <w:rsid w:val="00B45EF1"/>
    <w:rsid w:val="00B50861"/>
    <w:rsid w:val="00B565A2"/>
    <w:rsid w:val="00BB584E"/>
    <w:rsid w:val="00BB7C99"/>
    <w:rsid w:val="00BC3467"/>
    <w:rsid w:val="00BD1383"/>
    <w:rsid w:val="00C1074F"/>
    <w:rsid w:val="00C17DA5"/>
    <w:rsid w:val="00C318EC"/>
    <w:rsid w:val="00C53AE9"/>
    <w:rsid w:val="00C55449"/>
    <w:rsid w:val="00C807B2"/>
    <w:rsid w:val="00C81D83"/>
    <w:rsid w:val="00C96EF5"/>
    <w:rsid w:val="00CA1389"/>
    <w:rsid w:val="00CA2966"/>
    <w:rsid w:val="00CA469D"/>
    <w:rsid w:val="00CB7368"/>
    <w:rsid w:val="00CC33FF"/>
    <w:rsid w:val="00CD072C"/>
    <w:rsid w:val="00CF54F3"/>
    <w:rsid w:val="00D022E5"/>
    <w:rsid w:val="00D061D8"/>
    <w:rsid w:val="00D368AE"/>
    <w:rsid w:val="00D550CF"/>
    <w:rsid w:val="00D55602"/>
    <w:rsid w:val="00D57C33"/>
    <w:rsid w:val="00D7589A"/>
    <w:rsid w:val="00D85A7F"/>
    <w:rsid w:val="00D96187"/>
    <w:rsid w:val="00DC2220"/>
    <w:rsid w:val="00DD56D6"/>
    <w:rsid w:val="00DE06D8"/>
    <w:rsid w:val="00DE08A1"/>
    <w:rsid w:val="00DE1415"/>
    <w:rsid w:val="00DE52FA"/>
    <w:rsid w:val="00DF27A6"/>
    <w:rsid w:val="00DF553E"/>
    <w:rsid w:val="00E00FFB"/>
    <w:rsid w:val="00E57778"/>
    <w:rsid w:val="00E80235"/>
    <w:rsid w:val="00E819E8"/>
    <w:rsid w:val="00E87961"/>
    <w:rsid w:val="00EB2D92"/>
    <w:rsid w:val="00EC4660"/>
    <w:rsid w:val="00ED18BD"/>
    <w:rsid w:val="00ED76D3"/>
    <w:rsid w:val="00EE1BEE"/>
    <w:rsid w:val="00EE766D"/>
    <w:rsid w:val="00F144BF"/>
    <w:rsid w:val="00F174FF"/>
    <w:rsid w:val="00F3077F"/>
    <w:rsid w:val="00F548FB"/>
    <w:rsid w:val="00F559D9"/>
    <w:rsid w:val="00F775BF"/>
    <w:rsid w:val="00F814F1"/>
    <w:rsid w:val="00F94617"/>
    <w:rsid w:val="00F94D3A"/>
    <w:rsid w:val="00FA086B"/>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o:shapedefaults>
    <o:shapelayout v:ext="edit">
      <o:idmap v:ext="edit" data="1"/>
    </o:shapelayout>
  </w:shapeDefaults>
  <w:decimalSymbol w:val="."/>
  <w:listSeparator w:val=","/>
  <w14:docId w14:val="427579F8"/>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2E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 w:type="character" w:styleId="UnresolvedMention">
    <w:name w:val="Unresolved Mention"/>
    <w:basedOn w:val="DefaultParagraphFont"/>
    <w:uiPriority w:val="99"/>
    <w:semiHidden/>
    <w:unhideWhenUsed/>
    <w:rsid w:val="00E57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Pharmacy-Technician-Program-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4D1963FA-297C-4E58-ADAC-6B5188550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1196</TotalTime>
  <Pages>26</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26</cp:revision>
  <cp:lastPrinted>2017-06-14T17:22:00Z</cp:lastPrinted>
  <dcterms:created xsi:type="dcterms:W3CDTF">2020-01-13T20:15:00Z</dcterms:created>
  <dcterms:modified xsi:type="dcterms:W3CDTF">2020-02-05T16:39:00Z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